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D2078E" w14:textId="448328A7" w:rsidR="00BD3346" w:rsidRDefault="00BD3346" w:rsidP="00683AF4">
      <w:pPr>
        <w:pStyle w:val="Ttulo"/>
      </w:pPr>
      <w:r>
        <w:t>ECONOMIA MINE</w:t>
      </w:r>
      <w:r w:rsidR="00AA4EC3">
        <w:t>IRA</w:t>
      </w:r>
      <w:r>
        <w:t xml:space="preserve"> (1700 a 1760)</w:t>
      </w:r>
    </w:p>
    <w:p w14:paraId="7478AFCB" w14:textId="77777777" w:rsidR="00BD3346" w:rsidRDefault="00BD3346" w:rsidP="00BD3346">
      <w:r>
        <w:t>O ouro foi descoberto no final do século XVII, em Minas Gerais. No período de maior produção aurífera, entre 1741 e 1760, estima-se em 14.600 quilos anuais a quantidade de ouro extraído. Entre 1700 e 1770 a produção brasileira teria sido a mesma de toda a da América de 1493 à 1850 e alcançou cerca de 50% do que o resto do mundo produziu do século XVI ao XVIII. No total, entre 1.000 e 3.000 toneladas de ouro foram levadas para a metrópole.</w:t>
      </w:r>
    </w:p>
    <w:p w14:paraId="54FCFD73" w14:textId="77777777" w:rsidR="00BD3346" w:rsidRDefault="00BD3346" w:rsidP="00BD3346">
      <w:r>
        <w:t xml:space="preserve">Os diamantes foram descobertos em 1729. Calcula-se que, entre 1740 e 1771, foram extraídos mais de 1, 6 milhões de quilates, levando à queda em 75% do preço dos diamantes no mercado mundial. A produção diamantífera perdurou até 1832. </w:t>
      </w:r>
    </w:p>
    <w:p w14:paraId="0894049D" w14:textId="77777777" w:rsidR="00BD3346" w:rsidRDefault="00BD3346" w:rsidP="00BD3346">
      <w:r>
        <w:t xml:space="preserve">A produção aurífera começou a cair a partir de 1760 com o esgotamento das jazidas sendo a situação agravada por falta de maiores recursos técnicos para a lavra subterrânea. Entre 1781 e 1800 a produção média caiu para 5.450 quilos anuais. </w:t>
      </w:r>
    </w:p>
    <w:p w14:paraId="39D3461B" w14:textId="292D8D7E" w:rsidR="00BD3346" w:rsidRDefault="00BD3346" w:rsidP="00AA4EC3">
      <w:pPr>
        <w:pStyle w:val="Ttulo1"/>
      </w:pPr>
      <w:r>
        <w:t xml:space="preserve">1701 – </w:t>
      </w:r>
      <w:proofErr w:type="spellStart"/>
      <w:r>
        <w:t>K</w:t>
      </w:r>
      <w:r w:rsidR="00AA4EC3">
        <w:t>axixó</w:t>
      </w:r>
      <w:proofErr w:type="spellEnd"/>
      <w:r w:rsidR="00AA4EC3">
        <w:t xml:space="preserve"> atacados pelos bandeirantes, Minas Gerais</w:t>
      </w:r>
    </w:p>
    <w:p w14:paraId="793555D1" w14:textId="761E4833" w:rsidR="00BD3346" w:rsidRDefault="00BD3346" w:rsidP="00BD3346">
      <w:r>
        <w:t xml:space="preserve">O rio das Velhas foi, possivelmente, o caminho original da descoberta do ouro em Minas Gerais. A região era ocupada pelos índios </w:t>
      </w:r>
      <w:proofErr w:type="spellStart"/>
      <w:r>
        <w:t>Kaxixó</w:t>
      </w:r>
      <w:proofErr w:type="spellEnd"/>
      <w:r>
        <w:t xml:space="preserve"> incluindo as imediações do</w:t>
      </w:r>
      <w:r w:rsidR="00AE2D95">
        <w:t>s</w:t>
      </w:r>
      <w:r>
        <w:t xml:space="preserve"> rios Pará e São Francisco. Os bandeirantes vasculharam toda área em busca de ouro e pedras preciosas. A mais famosa expedição da época foi a de Fernão Dias, no final do século XVII, que ganhou fama como o “caçador das esmeraldas”. O mito de </w:t>
      </w:r>
      <w:proofErr w:type="spellStart"/>
      <w:r>
        <w:t>Sabarabussu</w:t>
      </w:r>
      <w:proofErr w:type="spellEnd"/>
      <w:r>
        <w:t xml:space="preserve">, uma mina rica em ouro (atual cidade de Sabará, em Minas Gerais) atraiu mais aventureiros. A mineração fez surgir as primeiras cidades Minas Gerais, todas próximas ao Rio das Velhas: Ouro Preto, Mariana, Sabará, Caeté e Santa Luzia. Parte do município de Diamantina, fundada nos anos 1700, pertence também à bacia hidrográfica do Rio das Velhas. Os índios foram perseguidos, capturados para o trabalho escravo. </w:t>
      </w:r>
    </w:p>
    <w:p w14:paraId="770B8397" w14:textId="6B5ABDE5" w:rsidR="00BD3346" w:rsidRDefault="00BD3346" w:rsidP="00AA4EC3">
      <w:pPr>
        <w:pStyle w:val="Ttulo1"/>
      </w:pPr>
      <w:r>
        <w:t>1708, 20/04 – C</w:t>
      </w:r>
      <w:r w:rsidR="00AA4EC3">
        <w:t>arta Régia autoriza o cativeiro de índio</w:t>
      </w:r>
    </w:p>
    <w:p w14:paraId="0FC432D1" w14:textId="77777777" w:rsidR="00BD3346" w:rsidRDefault="00BD3346" w:rsidP="00BD3346">
      <w:r>
        <w:t>Carta Régia de 20 de abril de 1708, de D. João V, o Magnânimo, para o Governador Geral do Brasil autoriza “fazer guerra geral a todas as nações de índios de corso, entrando-se por todas as partes”, e a capturar e vender índios. O termo “índios de corso” referia-se aos indígenas nômades, que não se fixavam em nenhum espaço, e que assaltavam os moradores dos núcleos coloniais, quase sempre de maneira inesperada e repentina.</w:t>
      </w:r>
    </w:p>
    <w:p w14:paraId="60938797" w14:textId="59692ACE" w:rsidR="00BD3346" w:rsidRDefault="00BD3346" w:rsidP="00AA4EC3">
      <w:pPr>
        <w:pStyle w:val="Ttulo1"/>
      </w:pPr>
      <w:r>
        <w:t>1710 – G</w:t>
      </w:r>
      <w:r w:rsidR="00AA4EC3">
        <w:t>uerra dos Mascates, Pernambuco</w:t>
      </w:r>
      <w:r>
        <w:t xml:space="preserve"> </w:t>
      </w:r>
    </w:p>
    <w:p w14:paraId="723ACF8D" w14:textId="77777777" w:rsidR="00953E9C" w:rsidRDefault="00BD3346" w:rsidP="00953E9C">
      <w:r>
        <w:t xml:space="preserve">Confronto entre os senhores de terras e de engenhos pernambucanos, concentrados em Olinda, e os comerciantes reinóis (portugueses da metrópole) do Recife, chamados pejorativamente de mascates. </w:t>
      </w:r>
      <w:r w:rsidR="00953E9C">
        <w:t xml:space="preserve">Veja mais na linha de tempo “Brasil Colonial, 1700-1808”: </w:t>
      </w:r>
      <w:hyperlink r:id="rId8" w:history="1">
        <w:r w:rsidR="00953E9C" w:rsidRPr="00953E9C">
          <w:rPr>
            <w:rStyle w:val="Hyperlink"/>
            <w:rFonts w:cstheme="minorHAnsi"/>
          </w:rPr>
          <w:t>https://ensinarhistoriajoelza.com.br/periodo-historico/</w:t>
        </w:r>
      </w:hyperlink>
    </w:p>
    <w:p w14:paraId="15A0DF2D" w14:textId="70E3E7A6" w:rsidR="00BD3346" w:rsidRDefault="00BD3346" w:rsidP="00953E9C">
      <w:pPr>
        <w:pStyle w:val="Ttulo1"/>
      </w:pPr>
      <w:r>
        <w:t>1711, 08/07 – F</w:t>
      </w:r>
      <w:r w:rsidR="00953E9C">
        <w:t>undação de Vila Rica (Ouro Preto), Minas Gerais</w:t>
      </w:r>
      <w:r>
        <w:t xml:space="preserve"> </w:t>
      </w:r>
    </w:p>
    <w:p w14:paraId="2669D06E" w14:textId="77777777" w:rsidR="00953E9C" w:rsidRDefault="00BD3346" w:rsidP="00953E9C">
      <w:r>
        <w:t xml:space="preserve">A cidade, uma das principais do período da mineração, tornou-se a mais populosa da América Latina, contando com cerca de 40 mil habitantes em 1740 e, décadas depois, 80 mil. </w:t>
      </w:r>
      <w:r w:rsidR="00953E9C">
        <w:t xml:space="preserve">Veja mais na linha de tempo “Brasil Colonial, 1700-1808”: </w:t>
      </w:r>
      <w:hyperlink r:id="rId9" w:history="1">
        <w:r w:rsidR="00953E9C" w:rsidRPr="00953E9C">
          <w:rPr>
            <w:rStyle w:val="Hyperlink"/>
            <w:rFonts w:cstheme="minorHAnsi"/>
          </w:rPr>
          <w:t>https://ensinarhistoriajoelza.com.br/periodo-historico/</w:t>
        </w:r>
      </w:hyperlink>
    </w:p>
    <w:p w14:paraId="2125583C" w14:textId="65B6871A" w:rsidR="00BD3346" w:rsidRDefault="00BD3346" w:rsidP="00953E9C">
      <w:pPr>
        <w:pStyle w:val="Ttulo"/>
      </w:pPr>
      <w:r>
        <w:t>REVOLTA DE MANDU LADINO</w:t>
      </w:r>
      <w:r w:rsidR="00683AF4">
        <w:t xml:space="preserve"> (1712-1719)</w:t>
      </w:r>
      <w:r w:rsidR="00F934C8">
        <w:t>, PIAUÍ</w:t>
      </w:r>
    </w:p>
    <w:p w14:paraId="30B6BA5C" w14:textId="77777777" w:rsidR="00BD3346" w:rsidRDefault="00BD3346" w:rsidP="00BD3346">
      <w:proofErr w:type="spellStart"/>
      <w:proofErr w:type="gramStart"/>
      <w:r>
        <w:t>Mandu</w:t>
      </w:r>
      <w:proofErr w:type="spellEnd"/>
      <w:r>
        <w:t xml:space="preserve"> Ladino</w:t>
      </w:r>
      <w:proofErr w:type="gramEnd"/>
      <w:r>
        <w:t xml:space="preserve"> era um índio </w:t>
      </w:r>
      <w:proofErr w:type="spellStart"/>
      <w:r>
        <w:t>Aranhi</w:t>
      </w:r>
      <w:proofErr w:type="spellEnd"/>
      <w:r>
        <w:t xml:space="preserve"> que ainda criança foi recolhido a um aldeamento Cariri e educado por padres. Indignado em ver objetos sagrados de seu povo serem queimados pelos padres, fugiu do aldeamento e se uniu aos Cariri no sertão do Piauí. Por essa época (1710-1711), os fazendeiros da região realizavam guerras contra índios hostis. O mestre de campo Antônio da Cunha Souto Maior era um chefe de tropas famoso por sua </w:t>
      </w:r>
      <w:r>
        <w:lastRenderedPageBreak/>
        <w:t xml:space="preserve">crueldade aos índios até que em 1712 foi assassinado por </w:t>
      </w:r>
      <w:proofErr w:type="spellStart"/>
      <w:r>
        <w:t>Mandu</w:t>
      </w:r>
      <w:proofErr w:type="spellEnd"/>
      <w:r>
        <w:t xml:space="preserve"> Ladino que roubou-lhe também as armas. A partir de então, </w:t>
      </w:r>
      <w:proofErr w:type="spellStart"/>
      <w:r>
        <w:t>Mandu</w:t>
      </w:r>
      <w:proofErr w:type="spellEnd"/>
      <w:r>
        <w:t xml:space="preserve"> Ladino torna-se líder de índios que assaltam fazendas de gado e povoados matando colonos e deixando um rastro de destruição. Os assaltos se estendem pelo Piauí, Maranhão e Ceará.</w:t>
      </w:r>
    </w:p>
    <w:p w14:paraId="502871E8" w14:textId="77777777" w:rsidR="00BD3346" w:rsidRDefault="00BD3346" w:rsidP="00BD3346">
      <w:r>
        <w:t xml:space="preserve">Os fazendeiros organizaram uma grande expedição contra os índios de </w:t>
      </w:r>
      <w:proofErr w:type="spellStart"/>
      <w:r>
        <w:t>Mandu</w:t>
      </w:r>
      <w:proofErr w:type="spellEnd"/>
      <w:r>
        <w:t xml:space="preserve"> Ladino. Em 1716, uma expedição chefiada por Francisco Cavalcante de Albuquerque partiu do Maranhão e se uniu à tropa do mestre de campo Bernardo de Carvalho Aguiar, no Piauí. Os </w:t>
      </w:r>
      <w:proofErr w:type="spellStart"/>
      <w:r>
        <w:t>Aranhis</w:t>
      </w:r>
      <w:proofErr w:type="spellEnd"/>
      <w:r>
        <w:t xml:space="preserve"> foram trucidados, mas </w:t>
      </w:r>
      <w:proofErr w:type="spellStart"/>
      <w:r>
        <w:t>Mandu</w:t>
      </w:r>
      <w:proofErr w:type="spellEnd"/>
      <w:r>
        <w:t xml:space="preserve"> Ladino escapou. O movimento só acabou com a morte por ferimento seguido de afogamento nas águas do rio Parnaíba de seu líder em 1719.</w:t>
      </w:r>
    </w:p>
    <w:p w14:paraId="0645D0EB" w14:textId="77777777" w:rsidR="00953E9C" w:rsidRDefault="00BD3346" w:rsidP="00953E9C">
      <w:pPr>
        <w:pStyle w:val="Ttulo1"/>
      </w:pPr>
      <w:r>
        <w:t>1718 – D</w:t>
      </w:r>
      <w:r w:rsidR="00953E9C">
        <w:t>escoberto ouro em Mato Grosso</w:t>
      </w:r>
    </w:p>
    <w:p w14:paraId="688AB3DF" w14:textId="77777777" w:rsidR="00953E9C" w:rsidRDefault="00BD3346" w:rsidP="00953E9C">
      <w:r>
        <w:t xml:space="preserve">Bandeira do paulista Pascoal Moreira Cabral descobre ouro às margens do ribeirão </w:t>
      </w:r>
      <w:proofErr w:type="spellStart"/>
      <w:r>
        <w:t>Coxipó</w:t>
      </w:r>
      <w:proofErr w:type="spellEnd"/>
      <w:r>
        <w:t xml:space="preserve">, de Cuiabá, em 1718. </w:t>
      </w:r>
      <w:r w:rsidR="00953E9C">
        <w:t xml:space="preserve">Veja mais na linha de tempo “Brasil Colonial, 1700-1808”: </w:t>
      </w:r>
      <w:hyperlink r:id="rId10" w:history="1">
        <w:r w:rsidR="00953E9C" w:rsidRPr="00953E9C">
          <w:rPr>
            <w:rStyle w:val="Hyperlink"/>
            <w:rFonts w:cstheme="minorHAnsi"/>
          </w:rPr>
          <w:t>https://ensinarhistoriajoelza.com.br/periodo-historico/</w:t>
        </w:r>
      </w:hyperlink>
    </w:p>
    <w:p w14:paraId="7B555AC9" w14:textId="0B662449" w:rsidR="00BD3346" w:rsidRDefault="00BD3346" w:rsidP="00953E9C">
      <w:pPr>
        <w:pStyle w:val="Ttulo1"/>
      </w:pPr>
      <w:r>
        <w:t>1720, 28/06 – R</w:t>
      </w:r>
      <w:r w:rsidR="00953E9C">
        <w:t>evolta de Vila Rica (Ouro Preto), Minas Gerais</w:t>
      </w:r>
    </w:p>
    <w:p w14:paraId="48D7B257" w14:textId="2C236A6C" w:rsidR="00953E9C" w:rsidRDefault="00BD3346" w:rsidP="00953E9C">
      <w:r>
        <w:t xml:space="preserve">Rebelião liderada por Filipe dos Santos contra as cobranças impostas pelas Casas de Fundição. </w:t>
      </w:r>
      <w:r w:rsidR="00953E9C">
        <w:t xml:space="preserve">Veja mais na linha de tempo “Brasil Colonial, 1700-1808”: </w:t>
      </w:r>
      <w:hyperlink r:id="rId11" w:history="1">
        <w:r w:rsidR="00953E9C" w:rsidRPr="00953E9C">
          <w:rPr>
            <w:rStyle w:val="Hyperlink"/>
            <w:rFonts w:cstheme="minorHAnsi"/>
          </w:rPr>
          <w:t>https://ensinarhistoriajoelza.com.br/periodo-historico/</w:t>
        </w:r>
      </w:hyperlink>
    </w:p>
    <w:p w14:paraId="5C56F24E" w14:textId="1F244F3F" w:rsidR="00BD3346" w:rsidRDefault="00BD3346" w:rsidP="00953E9C">
      <w:pPr>
        <w:pStyle w:val="Ttulo1"/>
      </w:pPr>
      <w:r>
        <w:t>1721 – E</w:t>
      </w:r>
      <w:r w:rsidR="00953E9C">
        <w:t>xpedição militar contra os índios Juma, Amazonas</w:t>
      </w:r>
      <w:r>
        <w:t xml:space="preserve"> </w:t>
      </w:r>
    </w:p>
    <w:p w14:paraId="0E9A7C1F" w14:textId="77777777" w:rsidR="00BD3346" w:rsidRDefault="00BD3346" w:rsidP="00BD3346">
      <w:r>
        <w:t xml:space="preserve">Expedição do capitão Diogo Pinto de </w:t>
      </w:r>
      <w:proofErr w:type="spellStart"/>
      <w:r>
        <w:t>Gaya</w:t>
      </w:r>
      <w:proofErr w:type="spellEnd"/>
      <w:r>
        <w:t xml:space="preserve"> com escolta militar, por ordem do governador do Grão-Pará, “para castigar os Juma e todos os seus e extinguir sua aldeia” pela morte do frei carmelita Antônio de Andrade, na margem direita do lago </w:t>
      </w:r>
      <w:proofErr w:type="spellStart"/>
      <w:r>
        <w:t>Cupucá</w:t>
      </w:r>
      <w:proofErr w:type="spellEnd"/>
      <w:r>
        <w:t>, no Rio Solimões. Os Juma foram dizimados.</w:t>
      </w:r>
    </w:p>
    <w:p w14:paraId="04A4DDFA" w14:textId="6B9D46A1" w:rsidR="00BD3346" w:rsidRDefault="00BD3346" w:rsidP="00953E9C">
      <w:pPr>
        <w:pStyle w:val="Ttulo1"/>
      </w:pPr>
      <w:r>
        <w:t>1722 – A</w:t>
      </w:r>
      <w:r w:rsidR="00953E9C">
        <w:t xml:space="preserve">bertura da estrada dos </w:t>
      </w:r>
      <w:proofErr w:type="spellStart"/>
      <w:r w:rsidR="00953E9C">
        <w:t>Goiases</w:t>
      </w:r>
      <w:proofErr w:type="spellEnd"/>
    </w:p>
    <w:p w14:paraId="43E46F8D" w14:textId="4BEA6153" w:rsidR="00BD3346" w:rsidRDefault="00BD3346" w:rsidP="00BD3346">
      <w:r>
        <w:t>O caminho em direção a Goiás foi feito, de início, pelos bandeirantes, através dos sertões mineiros, atravessando os rios Paraíba e Corumbá. Com o desmembramento d</w:t>
      </w:r>
      <w:r w:rsidR="00755204">
        <w:t>e</w:t>
      </w:r>
      <w:r>
        <w:t xml:space="preserve"> Minas Gerais da Capitania de São Paulo em 1720, tratou-se de abrir uma nova rota para evitar a passagem pelo território da nova capitania. </w:t>
      </w:r>
    </w:p>
    <w:p w14:paraId="45458103" w14:textId="61BA876E" w:rsidR="00BD3346" w:rsidRDefault="00BD3346" w:rsidP="00BD3346">
      <w:r>
        <w:t xml:space="preserve">Luís Pedroso de Barros, paulista que se envolvera nos conflitos da região das Gerais e andava foragido, adiantou-se a abrir uma picada na rota pretendida, "mediante o indulto de suas culpas, uma comenda da ordem de Cristo e uma tença anual de 50.000 reis". Aberta a picada, a bandeira de Bartolomeu Bueno da Silva parte de São Paulo a 30 de junho de 1722, sendo bem-sucedida em sua missão - estava aberto o "caminho geral dos </w:t>
      </w:r>
      <w:proofErr w:type="spellStart"/>
      <w:r>
        <w:t>Goiases</w:t>
      </w:r>
      <w:proofErr w:type="spellEnd"/>
      <w:r>
        <w:t>".</w:t>
      </w:r>
    </w:p>
    <w:p w14:paraId="573E82F2" w14:textId="206A6FD8" w:rsidR="00BD3346" w:rsidRDefault="00BD3346" w:rsidP="00683AF4">
      <w:pPr>
        <w:pStyle w:val="Ttulo"/>
      </w:pPr>
      <w:r>
        <w:t>GUERRA DOS MAN</w:t>
      </w:r>
      <w:r w:rsidR="00953E9C">
        <w:t>AÓ</w:t>
      </w:r>
      <w:r w:rsidR="00683AF4">
        <w:t xml:space="preserve"> (1712-1728)</w:t>
      </w:r>
      <w:r w:rsidR="00F934C8">
        <w:t>, AMAZONAS</w:t>
      </w:r>
    </w:p>
    <w:p w14:paraId="1432507E" w14:textId="18D04C11" w:rsidR="00BD3346" w:rsidRDefault="00BD3346" w:rsidP="00BD3346">
      <w:r>
        <w:t xml:space="preserve">No vale do rio Negro viviam os índios </w:t>
      </w:r>
      <w:proofErr w:type="spellStart"/>
      <w:r>
        <w:t>Manaó</w:t>
      </w:r>
      <w:proofErr w:type="spellEnd"/>
      <w:r>
        <w:t xml:space="preserve">, povo guerreiro que dominava outros povos indígenas daquela bacia hidrográfica. Eram hábeis canoeiros e comerciantes que usavam o ouro e indígenas capturados como moeda de troca com as tropas de resgate portuguesas para obter armas, ferramentas e utensílios diversos. Desde cerca de 1675, </w:t>
      </w:r>
      <w:proofErr w:type="spellStart"/>
      <w:r>
        <w:t>Caboquena</w:t>
      </w:r>
      <w:proofErr w:type="spellEnd"/>
      <w:r>
        <w:t xml:space="preserve">, o grande líder </w:t>
      </w:r>
      <w:proofErr w:type="spellStart"/>
      <w:r>
        <w:t>Man</w:t>
      </w:r>
      <w:r w:rsidR="00953E9C">
        <w:t>aó</w:t>
      </w:r>
      <w:proofErr w:type="spellEnd"/>
      <w:r>
        <w:t xml:space="preserve">, estabeleceu um contato amigável com os portugueses consolidado com o casamento de sua filha </w:t>
      </w:r>
      <w:proofErr w:type="spellStart"/>
      <w:r>
        <w:t>Marari</w:t>
      </w:r>
      <w:proofErr w:type="spellEnd"/>
      <w:r>
        <w:t xml:space="preserve"> com o sargento Guilherme Valente. No início do século XVIII, morre </w:t>
      </w:r>
      <w:proofErr w:type="spellStart"/>
      <w:r>
        <w:t>Caboquena</w:t>
      </w:r>
      <w:proofErr w:type="spellEnd"/>
      <w:r>
        <w:t xml:space="preserve"> e assume a liderança dos </w:t>
      </w:r>
      <w:proofErr w:type="spellStart"/>
      <w:r>
        <w:t>Manáo</w:t>
      </w:r>
      <w:proofErr w:type="spellEnd"/>
      <w:r>
        <w:t xml:space="preserve">, seu filho mais velho </w:t>
      </w:r>
      <w:proofErr w:type="spellStart"/>
      <w:r>
        <w:t>Huiuebene</w:t>
      </w:r>
      <w:proofErr w:type="spellEnd"/>
      <w:r>
        <w:t>.</w:t>
      </w:r>
    </w:p>
    <w:p w14:paraId="54E84950" w14:textId="77777777" w:rsidR="00BD3346" w:rsidRDefault="00BD3346" w:rsidP="00BD3346">
      <w:proofErr w:type="spellStart"/>
      <w:r>
        <w:t>Huiuebene</w:t>
      </w:r>
      <w:proofErr w:type="spellEnd"/>
      <w:r>
        <w:t xml:space="preserve"> mantém os acordos com os portugueses e fornece-lhes guerreiros na captura de outros índios em troca de parte dos lucros do butim. Em uma discussão sobre a partilha dos bens, </w:t>
      </w:r>
      <w:proofErr w:type="spellStart"/>
      <w:r>
        <w:t>Huiuebene</w:t>
      </w:r>
      <w:proofErr w:type="spellEnd"/>
      <w:r>
        <w:t xml:space="preserve"> acabou sendo assassinato pelos portugueses por desentendimentos comerciais. </w:t>
      </w:r>
    </w:p>
    <w:p w14:paraId="40EF2DB9" w14:textId="7A33A409" w:rsidR="00BD3346" w:rsidRDefault="00BD3346" w:rsidP="00BD3346">
      <w:r>
        <w:t xml:space="preserve"> </w:t>
      </w:r>
      <w:proofErr w:type="spellStart"/>
      <w:r>
        <w:t>Ajuricaba</w:t>
      </w:r>
      <w:proofErr w:type="spellEnd"/>
      <w:r>
        <w:t xml:space="preserve">, filho do chefe assassinato, assume a liderança dos </w:t>
      </w:r>
      <w:proofErr w:type="spellStart"/>
      <w:r w:rsidR="00953E9C">
        <w:t>Manaó</w:t>
      </w:r>
      <w:proofErr w:type="spellEnd"/>
      <w:r>
        <w:t xml:space="preserve"> decidido a vingar </w:t>
      </w:r>
      <w:proofErr w:type="spellStart"/>
      <w:r>
        <w:t>Huiuebene</w:t>
      </w:r>
      <w:proofErr w:type="spellEnd"/>
      <w:r>
        <w:t xml:space="preserve">. Rompeu a aliança com os portugueses exigindo o mesmo de outras aldeias indígenas. Aproximou-se dos holandeses da Guiana (Suriname) de quem obteve armas para lutar contra os portugueses. Entre 1723 e 1728, </w:t>
      </w:r>
      <w:proofErr w:type="spellStart"/>
      <w:r>
        <w:t>Ajuricaba</w:t>
      </w:r>
      <w:proofErr w:type="spellEnd"/>
      <w:r>
        <w:t xml:space="preserve"> </w:t>
      </w:r>
      <w:r>
        <w:lastRenderedPageBreak/>
        <w:t xml:space="preserve">comandou ataques aos portugueses através de emboscadas, impediu que seus barcos subissem o rio Negro e destruiu aldeias indígenas aliadas dos portugueses.   </w:t>
      </w:r>
    </w:p>
    <w:p w14:paraId="1F17B743" w14:textId="7B90564A" w:rsidR="00BD3346" w:rsidRDefault="00BD3346" w:rsidP="00BD3346">
      <w:r>
        <w:t xml:space="preserve">Portugal aumentou os recursos militares para o rio Negro, enviando uma expedição militar com forte artilharia incluindo um navio com canhões para bombardear as aldeias ribeirinhas. Cálculos oficiais falam em mais de 40 mil mortes, além do extermínio dos </w:t>
      </w:r>
      <w:proofErr w:type="spellStart"/>
      <w:r w:rsidR="00953E9C">
        <w:t>Manaó</w:t>
      </w:r>
      <w:proofErr w:type="spellEnd"/>
      <w:r>
        <w:t xml:space="preserve">. Aprisionado com centenas de outros índios, </w:t>
      </w:r>
      <w:proofErr w:type="spellStart"/>
      <w:r>
        <w:t>Ajuricaba</w:t>
      </w:r>
      <w:proofErr w:type="spellEnd"/>
      <w:r>
        <w:t xml:space="preserve"> rebelou-se a caminho da prisão em Belém, atirando-se no rio e desaparecendo, possivelmente afogado pois estava preso em ferros. </w:t>
      </w:r>
    </w:p>
    <w:p w14:paraId="48BD6A02" w14:textId="367A2773" w:rsidR="00BD3346" w:rsidRDefault="00BD3346" w:rsidP="00BD3346">
      <w:r>
        <w:t xml:space="preserve">Outros povos aliados dos </w:t>
      </w:r>
      <w:proofErr w:type="spellStart"/>
      <w:r w:rsidR="00953E9C">
        <w:t>Manaó</w:t>
      </w:r>
      <w:proofErr w:type="spellEnd"/>
      <w:r>
        <w:t xml:space="preserve"> fugiram da região. Os Tarumã subiram o rio Negro, entraram pelo rio Branco e, depois de percorrerem mais de 2.000 km pelo rio, embrenharam-se pela Guiana Inglesa. Os </w:t>
      </w:r>
      <w:proofErr w:type="spellStart"/>
      <w:r>
        <w:t>Barés</w:t>
      </w:r>
      <w:proofErr w:type="spellEnd"/>
      <w:r>
        <w:t xml:space="preserve"> fizeram o mesmo e, penetrando na bacia do rio Orenoco, refugiaram-se na Venezuela. Todos, incluindo os </w:t>
      </w:r>
      <w:proofErr w:type="spellStart"/>
      <w:r w:rsidR="00953E9C">
        <w:t>Manaó</w:t>
      </w:r>
      <w:proofErr w:type="spellEnd"/>
      <w:r>
        <w:t xml:space="preserve"> são considerados extintos no Brasil.</w:t>
      </w:r>
    </w:p>
    <w:p w14:paraId="163C064B" w14:textId="349AFCF0" w:rsidR="00BD3346" w:rsidRDefault="00BD3346" w:rsidP="00BB68B8">
      <w:pPr>
        <w:spacing w:line="240" w:lineRule="auto"/>
      </w:pPr>
      <w:r w:rsidRPr="00683AF4">
        <w:rPr>
          <w:b/>
        </w:rPr>
        <w:t>Fonte:</w:t>
      </w:r>
      <w:r>
        <w:t xml:space="preserve"> </w:t>
      </w:r>
      <w:r w:rsidRPr="00683AF4">
        <w:rPr>
          <w:i/>
        </w:rPr>
        <w:t>Guerra dos Manaus, Amazônia</w:t>
      </w:r>
      <w:r>
        <w:t xml:space="preserve">. Impressões rebeldes, UFF. </w:t>
      </w:r>
      <w:hyperlink r:id="rId12" w:history="1">
        <w:r w:rsidR="00683AF4" w:rsidRPr="00EC2D13">
          <w:rPr>
            <w:rStyle w:val="Hyperlink"/>
          </w:rPr>
          <w:t>https://www.historia.uff.br/impressoesrebeldes/?revoltas_categoria=1722</w:t>
        </w:r>
      </w:hyperlink>
    </w:p>
    <w:p w14:paraId="079A22CD" w14:textId="56FF2060" w:rsidR="00BD3346" w:rsidRDefault="00BD3346" w:rsidP="00953E9C">
      <w:pPr>
        <w:pStyle w:val="Ttulo1"/>
      </w:pPr>
      <w:r>
        <w:t>1725 – D</w:t>
      </w:r>
      <w:r w:rsidR="00953E9C">
        <w:t>escoberto ouro em Goiás</w:t>
      </w:r>
      <w:r>
        <w:t xml:space="preserve"> </w:t>
      </w:r>
    </w:p>
    <w:p w14:paraId="3F35BCE2" w14:textId="74D8F9D9" w:rsidR="00BD3346" w:rsidRDefault="00BD3346" w:rsidP="00BD3346">
      <w:r>
        <w:t xml:space="preserve">Bandeira do paulista Bartolomeu Bueno da Silva, o Anhanguera, descobre ouro nas margens do rio Vermelho, em 1725. Ali fundou o Arraial de Sant’Anna em 1736 que, em meados de 1750, foi denominado de Vila Boa de </w:t>
      </w:r>
      <w:proofErr w:type="spellStart"/>
      <w:r>
        <w:t>Goyaz</w:t>
      </w:r>
      <w:proofErr w:type="spellEnd"/>
      <w:r>
        <w:t xml:space="preserve"> (Goiás Velho). Além do ouro, também foram extraídos diamantes. Veja mais na linha de tempo “Brasil Colonial, 1700-1808”</w:t>
      </w:r>
      <w:r w:rsidR="00953E9C">
        <w:t xml:space="preserve">: </w:t>
      </w:r>
      <w:hyperlink r:id="rId13" w:history="1">
        <w:r w:rsidR="00953E9C" w:rsidRPr="00953E9C">
          <w:rPr>
            <w:rStyle w:val="Hyperlink"/>
            <w:rFonts w:cstheme="minorHAnsi"/>
          </w:rPr>
          <w:t>https://ensinarhistoriajoelza.com.br/periodo-historico/</w:t>
        </w:r>
      </w:hyperlink>
    </w:p>
    <w:p w14:paraId="3BB9E383" w14:textId="6052687A" w:rsidR="00BD3346" w:rsidRDefault="00BD3346" w:rsidP="00683AF4">
      <w:pPr>
        <w:pStyle w:val="Ttulo"/>
      </w:pPr>
      <w:r>
        <w:t>RESISTÊNCIA GUAICURU</w:t>
      </w:r>
      <w:r w:rsidR="00683AF4">
        <w:t xml:space="preserve"> (1725-1778)</w:t>
      </w:r>
      <w:r w:rsidR="00F934C8">
        <w:t>, MATO GROSSO</w:t>
      </w:r>
    </w:p>
    <w:p w14:paraId="6559EB29" w14:textId="77777777" w:rsidR="00BD3346" w:rsidRDefault="00BD3346" w:rsidP="00BD3346">
      <w:r>
        <w:t xml:space="preserve">A descoberta de ouro nos arredores da atual cidade de Cuiabá em 1718 e o consequente fluxo de mineradores e aventureiros para o local provocou a reação dos Guaicuru e dos </w:t>
      </w:r>
      <w:proofErr w:type="spellStart"/>
      <w:r>
        <w:t>Paiaguá</w:t>
      </w:r>
      <w:proofErr w:type="spellEnd"/>
      <w:r>
        <w:t xml:space="preserve"> que habitavam o Pantanal brasileiro e o </w:t>
      </w:r>
      <w:proofErr w:type="spellStart"/>
      <w:r>
        <w:t>Chaco</w:t>
      </w:r>
      <w:proofErr w:type="spellEnd"/>
      <w:r>
        <w:t xml:space="preserve"> paraguaio. A região pertencia, então à Capitania de São Paulo da qual só seria desmembrada em 1748 para formar a Capitania de Mato Grosso (correspondendo aos atuais estados de Mato Grosso e de Mato Grosso do Sul). </w:t>
      </w:r>
    </w:p>
    <w:p w14:paraId="0ED2FBDA" w14:textId="77777777" w:rsidR="00BD3346" w:rsidRDefault="00BD3346" w:rsidP="00BD3346">
      <w:r>
        <w:t xml:space="preserve">Os conflitos envolveram também as disputas territoriais pois a região era zona de litígio fronteiriço. Para os espanhóis, o </w:t>
      </w:r>
      <w:proofErr w:type="spellStart"/>
      <w:r>
        <w:t>Chaco</w:t>
      </w:r>
      <w:proofErr w:type="spellEnd"/>
      <w:r>
        <w:t xml:space="preserve"> era caminho para chegar ao Peru e às suas minas de ouro e prata. Já os portugueses queriam estender suas fronteiras e a criação da Capitania do Mato Grosso, em 1748, tinha esse objetivo. Para portugueses e espanhóis, portanto, os Guaicuru e os </w:t>
      </w:r>
      <w:proofErr w:type="spellStart"/>
      <w:r>
        <w:t>Paiagua</w:t>
      </w:r>
      <w:proofErr w:type="spellEnd"/>
      <w:r>
        <w:t xml:space="preserve"> eram o inimigo comum.</w:t>
      </w:r>
    </w:p>
    <w:p w14:paraId="611BE1B5" w14:textId="77777777" w:rsidR="00BD3346" w:rsidRDefault="00BD3346" w:rsidP="00BD3346">
      <w:r>
        <w:t>Os Guaicurus eram povos nômades, caçadores-guerreiros que exerciam domínio sobre outros grupos indígenas que capturavam para servi-los. Essa preponderância aumentou entre os séculos XVI e XVII com a introdução do cavalo europeu na região que os Guaicurus logo aprenderam a cavalgar (sem sela e estribos), o que aumentou sua mobilidade e seu poderio bélico e área de influência. Conhecidos como “índios cavaleiros”, sua população, no século XVIII, é estimada entre 7.000 e 8.00 indígenas que possuíam entre 6.000 e 8.000 cavalos.</w:t>
      </w:r>
    </w:p>
    <w:p w14:paraId="1EDE4602" w14:textId="4B6B1538" w:rsidR="00BD3346" w:rsidRDefault="00BD3346" w:rsidP="00BD3346">
      <w:r>
        <w:t xml:space="preserve">A aliança entre os cavaleiros Guaicuru e os canoeiros </w:t>
      </w:r>
      <w:proofErr w:type="spellStart"/>
      <w:r>
        <w:t>Paiaguá</w:t>
      </w:r>
      <w:proofErr w:type="spellEnd"/>
      <w:r>
        <w:t xml:space="preserve"> foi o grande obstáculo para a colonização portuguesa do Centro-Oeste. Os índios atacavam as monções (expedições fluviais) entre São Paulo e a região do garimpo </w:t>
      </w:r>
      <w:r w:rsidR="00755204">
        <w:t>cuiabano</w:t>
      </w:r>
      <w:r>
        <w:t>,</w:t>
      </w:r>
      <w:r w:rsidR="00755204">
        <w:t xml:space="preserve"> incluindo</w:t>
      </w:r>
      <w:r>
        <w:t xml:space="preserve"> as cidades de Cuiabá, Vila Bela e Assunção havendo relatos de captura de bandeirantes que foram vendidos como escravos. A maior incidência de ataques ocorreu entre 1725 e 1778.</w:t>
      </w:r>
    </w:p>
    <w:p w14:paraId="6F33F936" w14:textId="77777777" w:rsidR="00BD3346" w:rsidRDefault="00BD3346" w:rsidP="00BD3346">
      <w:r>
        <w:t xml:space="preserve">Os espanhóis também foram alvo dos ataques dos Guaicurus e </w:t>
      </w:r>
      <w:proofErr w:type="spellStart"/>
      <w:r>
        <w:t>Paiaguá</w:t>
      </w:r>
      <w:proofErr w:type="spellEnd"/>
      <w:r>
        <w:t xml:space="preserve"> e, para contê-los, a província do Paraguai fez um acordo de paz com os índios em 1774. A Coroa portuguesa fez o mesmo: em 1791 firmou um Termo de Paz com os </w:t>
      </w:r>
      <w:proofErr w:type="spellStart"/>
      <w:r>
        <w:t>Gaicurus</w:t>
      </w:r>
      <w:proofErr w:type="spellEnd"/>
      <w:r>
        <w:t>.</w:t>
      </w:r>
      <w:r>
        <w:tab/>
      </w:r>
    </w:p>
    <w:p w14:paraId="08816A70" w14:textId="11736B24" w:rsidR="00BD3346" w:rsidRDefault="00BD3346" w:rsidP="00755204">
      <w:pPr>
        <w:spacing w:line="240" w:lineRule="auto"/>
      </w:pPr>
      <w:r w:rsidRPr="00E669A5">
        <w:rPr>
          <w:b/>
        </w:rPr>
        <w:t>Fonte:</w:t>
      </w:r>
      <w:r>
        <w:t xml:space="preserve"> SILVA, Giovani José da. </w:t>
      </w:r>
      <w:r w:rsidRPr="00E669A5">
        <w:rPr>
          <w:i/>
        </w:rPr>
        <w:t xml:space="preserve">A Reserva Indígena </w:t>
      </w:r>
      <w:proofErr w:type="spellStart"/>
      <w:r w:rsidRPr="00E669A5">
        <w:rPr>
          <w:i/>
        </w:rPr>
        <w:t>Kadiwéu</w:t>
      </w:r>
      <w:proofErr w:type="spellEnd"/>
      <w:r w:rsidRPr="00E669A5">
        <w:rPr>
          <w:i/>
        </w:rPr>
        <w:t xml:space="preserve"> (1899-1984): memória, identidade e história</w:t>
      </w:r>
      <w:r>
        <w:t xml:space="preserve">. Dourados, MS: Ed. UFGD, 2014. </w:t>
      </w:r>
      <w:hyperlink r:id="rId14" w:history="1">
        <w:r w:rsidR="00E669A5" w:rsidRPr="00EC2D13">
          <w:rPr>
            <w:rStyle w:val="Hyperlink"/>
          </w:rPr>
          <w:t>http://files.ufgd.edu.br/arquivos/arquivos/78/EDITORA/catalogo/a-reserva-indigena-kadiweu-1899-1984-memoria-identidade-e-historia-giovani-jose-da-silva.pdf</w:t>
        </w:r>
      </w:hyperlink>
    </w:p>
    <w:p w14:paraId="225BAC4B" w14:textId="142C120F" w:rsidR="00BD3346" w:rsidRDefault="00BD3346" w:rsidP="00755204">
      <w:pPr>
        <w:pStyle w:val="Ttulo1"/>
      </w:pPr>
      <w:r>
        <w:lastRenderedPageBreak/>
        <w:t>1727 – A</w:t>
      </w:r>
      <w:r w:rsidR="00755204">
        <w:t>bertura de caminho para os tropeiros</w:t>
      </w:r>
    </w:p>
    <w:p w14:paraId="31ED8500" w14:textId="77777777" w:rsidR="00BD3346" w:rsidRDefault="00BD3346" w:rsidP="00BD3346">
      <w:r>
        <w:t xml:space="preserve">Em 1727, o governador da Capitania de São Paulo, Antônio Caldeira da Silva Pimentel contrata os serviços do </w:t>
      </w:r>
      <w:proofErr w:type="gramStart"/>
      <w:r>
        <w:t>sargento</w:t>
      </w:r>
      <w:proofErr w:type="gramEnd"/>
      <w:r>
        <w:t>-mor Francisco de Souza e Faria para abertura de um caminho ligando São Paulo, Laguna e Curitiba para facilitar o transporte do gado conduzido pelos tropeiros. Era a partir de Laguna, seguindo pelo caminho da praia, que se chegava ao litoral do Rio Grande Sul. Entre 1727 e 1730, Francisco de Sousa Faria abriu uma nova estrada, ligando São Paulo e os Campos de Curitiba que ficou conhecida como Caminho de Sousa Faria ou Estrada dos Conventos. O percurso seguia pelo antigo caminho da praia até a altura de Araranguá (hoje município no extremo sul de Santa Catarina), a partir daí subia aos campos de Cima da Serra em direção a Lages, Curitiba e São Paulo.</w:t>
      </w:r>
    </w:p>
    <w:p w14:paraId="191921ED" w14:textId="4B908214" w:rsidR="00BD3346" w:rsidRDefault="00BD3346" w:rsidP="00E669A5">
      <w:pPr>
        <w:pStyle w:val="Ttulo"/>
      </w:pPr>
      <w:r>
        <w:t>RESISTÊNCIA CAIAPÓ</w:t>
      </w:r>
      <w:r w:rsidR="00E669A5">
        <w:t xml:space="preserve"> (1725-1780)</w:t>
      </w:r>
      <w:r w:rsidR="00F934C8">
        <w:t>, GOIÁS</w:t>
      </w:r>
    </w:p>
    <w:p w14:paraId="74374E6C" w14:textId="77777777" w:rsidR="00BD3346" w:rsidRDefault="00BD3346" w:rsidP="00BD3346">
      <w:r>
        <w:t xml:space="preserve">O termo “caiapó” foi usado para se referir de maneira genérica aos falantes do tronco </w:t>
      </w:r>
      <w:proofErr w:type="spellStart"/>
      <w:r>
        <w:t>Macro-Jê</w:t>
      </w:r>
      <w:proofErr w:type="spellEnd"/>
      <w:r>
        <w:t xml:space="preserve"> que habitavam o sul do atual estado de Goiás estendendo-se para as divisas dos atuais Mato Grosso do Sul, Minas Gerais e São Paulo.</w:t>
      </w:r>
    </w:p>
    <w:p w14:paraId="0C8F0FA6" w14:textId="77777777" w:rsidR="00BD3346" w:rsidRDefault="00BD3346" w:rsidP="00BD3346">
      <w:r>
        <w:t xml:space="preserve">Com a descoberta das minas de Cuiabá (1718) e Goiás (1725), várias bandeiras partiram rumo ao Planalto Central em busca de riquezas. Bartolomeu Bueno da Silva ao sair à procura das minas, em 1722, recebeu um regimento que recomendava: “Estabelecimento de um sistema de autoridade, política de paz e respeito para com os índios, procurando </w:t>
      </w:r>
      <w:proofErr w:type="spellStart"/>
      <w:r>
        <w:t>aldea-los</w:t>
      </w:r>
      <w:proofErr w:type="spellEnd"/>
      <w:r>
        <w:t>, mas sempre por meio de persuasão, nunca pelo recurso à força”. Contudo, bastaram três anos para que o regimento fosse violado inclusive pelo próprio governador e o rei, atendendo aos pedidos dos garimpeiros.</w:t>
      </w:r>
    </w:p>
    <w:p w14:paraId="387607E8" w14:textId="77777777" w:rsidR="00BD3346" w:rsidRDefault="00BD3346" w:rsidP="00BD3346">
      <w:r>
        <w:t xml:space="preserve">Em 1735, nas vizinhanças de Vila Boa, os Caiapó destruíram fazendas incendiando casas e matando colonos, escravos e cavalos. Seguiram-se confrontos violentos que massacram muitos índios mas, nem por isso, os detiveram. </w:t>
      </w:r>
    </w:p>
    <w:p w14:paraId="39E56742" w14:textId="77777777" w:rsidR="00BD3346" w:rsidRDefault="00BD3346" w:rsidP="00BD3346">
      <w:r>
        <w:t xml:space="preserve">Em 1742 e novamente em 1748, o sertanista paulista Antônio Pires de Campo foi contratado pelo governador de São Paulo para combater os Caiapó, tendo como recompensa uma arroba de ouro arrecadada junto aos moradores de Vila Boa. Contando com índios Bororo e </w:t>
      </w:r>
      <w:proofErr w:type="spellStart"/>
      <w:r>
        <w:t>Paresí</w:t>
      </w:r>
      <w:proofErr w:type="spellEnd"/>
      <w:r>
        <w:t xml:space="preserve"> como aliados, combateu com violência os Caiapós destruindo aldeias e aprisionando mulheres e crianças. O objetivo imediato era manter livre o caminho Goiás-São Paulo, a chamada Estrada do Anhanguera.</w:t>
      </w:r>
    </w:p>
    <w:p w14:paraId="7D804D47" w14:textId="77777777" w:rsidR="00BD3346" w:rsidRDefault="00BD3346" w:rsidP="00BD3346">
      <w:r>
        <w:t xml:space="preserve">A guerra aos Caiapó perdurou até 1780 a partir de quando os Caiapó, em razão da própria sobrevivência do grupo, começaram a se estabelecer pacificamente em aldeamentos como o de Maria I e São José de </w:t>
      </w:r>
      <w:proofErr w:type="spellStart"/>
      <w:r>
        <w:t>Mossâmedes</w:t>
      </w:r>
      <w:proofErr w:type="spellEnd"/>
      <w:r>
        <w:t xml:space="preserve"> na Capitania de Goiás.</w:t>
      </w:r>
    </w:p>
    <w:p w14:paraId="5BBDC887" w14:textId="01329946" w:rsidR="00BD3346" w:rsidRDefault="00BD3346" w:rsidP="00BB68B8">
      <w:pPr>
        <w:spacing w:after="0" w:line="240" w:lineRule="auto"/>
      </w:pPr>
      <w:r w:rsidRPr="00E669A5">
        <w:rPr>
          <w:b/>
        </w:rPr>
        <w:t>Fonte:</w:t>
      </w:r>
      <w:r>
        <w:t xml:space="preserve"> RAVAGNANI, Oswaldo Martins. </w:t>
      </w:r>
      <w:r w:rsidRPr="00E669A5">
        <w:rPr>
          <w:i/>
        </w:rPr>
        <w:t xml:space="preserve">Os primeiros aldeamentos na Província de Goiás: Bororo e </w:t>
      </w:r>
      <w:proofErr w:type="spellStart"/>
      <w:r w:rsidRPr="00E669A5">
        <w:rPr>
          <w:i/>
        </w:rPr>
        <w:t>Kaiapó</w:t>
      </w:r>
      <w:proofErr w:type="spellEnd"/>
      <w:r w:rsidRPr="00E669A5">
        <w:rPr>
          <w:i/>
        </w:rPr>
        <w:t xml:space="preserve"> na Estrada do Anhanguera</w:t>
      </w:r>
      <w:r>
        <w:t>. Revista de Antropologia, São Paulo, USP, v. 39, n.1, 1996.</w:t>
      </w:r>
      <w:r w:rsidR="00E669A5">
        <w:t xml:space="preserve"> </w:t>
      </w:r>
      <w:hyperlink r:id="rId15" w:history="1">
        <w:r w:rsidR="00E669A5" w:rsidRPr="00EC2D13">
          <w:rPr>
            <w:rStyle w:val="Hyperlink"/>
          </w:rPr>
          <w:t>file:///C:/Users/clebe/AppData/Local/Temp/111630-Texto%20do%20artigo-201452-1-10-20160301.pdf</w:t>
        </w:r>
      </w:hyperlink>
    </w:p>
    <w:p w14:paraId="5E9D1C7E" w14:textId="4F0B06DD" w:rsidR="00BD3346" w:rsidRDefault="00BD3346" w:rsidP="00E669A5">
      <w:pPr>
        <w:pStyle w:val="Ttulo"/>
      </w:pPr>
      <w:r>
        <w:t>GUERRILHA MURA</w:t>
      </w:r>
      <w:r w:rsidR="00E669A5">
        <w:t xml:space="preserve"> (1738-1786)</w:t>
      </w:r>
      <w:r w:rsidR="00F934C8">
        <w:t>, AMAZONAS</w:t>
      </w:r>
    </w:p>
    <w:p w14:paraId="4C5AF8B2" w14:textId="32321186" w:rsidR="00BD3346" w:rsidRDefault="00BD3346" w:rsidP="00BD3346">
      <w:r>
        <w:t xml:space="preserve">Os índios Mura, habitantes das bacias dos rios Solimões, Madeira e Amazonas foram um dos grupos mais temidos da região amazônica que dificultaram seriamente a comunicação fluvial entre o Grão-Pará e o Mato Grosso. Atacavam com frequência as embarcações comerciais utilizadas na navegação do rio Madeira. Chamados de “piratas dos rios”, os Mura viviam em suas próprias canoas, como se fossem casas. Eram guerreiros destemidos que atacavam o inimigo em emboscadas desaparecendo em meio aos igarapés, ilhas e lagos graças à sua grande mobilidade de excelentes canoeiros.  </w:t>
      </w:r>
    </w:p>
    <w:p w14:paraId="7C0C9F36" w14:textId="77777777" w:rsidR="00BD3346" w:rsidRDefault="00BD3346" w:rsidP="00BD3346">
      <w:r>
        <w:t>Os primeiros conflitos com os colonizadores ocorreram em 1738 e 1739. O governador da Capitania do Maranhão, João de Souza Castelo Branco, encaminhou ao rei D. João V um processo-crime contra esses índios. O rei de Portugal, contudo, recusou autorizar a “guerra justa” contra os Mura. Mas eles não foram poupados de frequentes expedições punitivas organizadas pelos portugueses.</w:t>
      </w:r>
    </w:p>
    <w:p w14:paraId="6B1B6101" w14:textId="77777777" w:rsidR="00BD3346" w:rsidRDefault="00BD3346" w:rsidP="00BD3346">
      <w:r>
        <w:lastRenderedPageBreak/>
        <w:t>Somente em 1784, um grupo de Mura, comandado por um índio de nome Ambrósio, celebrou o acordo com os portugueses, dispostos a cessar as hostilidades e se comprometendo a fornecer produtos do sertão. Outros grupos Mura fizeram o mesmo e, por volta de 1786, eles estavam aparentemente em estado de paz.</w:t>
      </w:r>
    </w:p>
    <w:p w14:paraId="785A627E" w14:textId="43B7226F" w:rsidR="00BD3346" w:rsidRDefault="00BD3346" w:rsidP="00BB68B8">
      <w:pPr>
        <w:spacing w:after="0" w:line="240" w:lineRule="auto"/>
      </w:pPr>
      <w:r w:rsidRPr="00E669A5">
        <w:rPr>
          <w:b/>
        </w:rPr>
        <w:t>Fonte:</w:t>
      </w:r>
      <w:r>
        <w:t xml:space="preserve"> PEQUENO, Eliane da Silva. </w:t>
      </w:r>
      <w:r w:rsidRPr="00E669A5">
        <w:rPr>
          <w:i/>
        </w:rPr>
        <w:t>Mura, guardiões do caminho fluvial</w:t>
      </w:r>
      <w:r>
        <w:t xml:space="preserve">. Revista de Estudos e Pesquisa. FUNAI, Brasília, v. 3, n. 1, </w:t>
      </w:r>
      <w:proofErr w:type="spellStart"/>
      <w:r>
        <w:t>jul</w:t>
      </w:r>
      <w:proofErr w:type="spellEnd"/>
      <w:r>
        <w:t>/dez 2006.</w:t>
      </w:r>
      <w:r w:rsidR="00E669A5">
        <w:t xml:space="preserve"> </w:t>
      </w:r>
      <w:hyperlink r:id="rId16" w:history="1">
        <w:r w:rsidR="00E669A5" w:rsidRPr="00EC2D13">
          <w:rPr>
            <w:rStyle w:val="Hyperlink"/>
          </w:rPr>
          <w:t>http://www.funai.gov.br/arquivos/conteudo/cogedi/pdf/Revista-Estudos-e-Pesquisas/revista_estudos_pesquisas_v3_n1_2/05_Mura_guardiaes_do_caminho_fluvial_Eliane%20Pequeno.pdf</w:t>
        </w:r>
      </w:hyperlink>
    </w:p>
    <w:p w14:paraId="063402F3" w14:textId="5AC64F08" w:rsidR="00BD3346" w:rsidRDefault="00BD3346" w:rsidP="00755204">
      <w:pPr>
        <w:pStyle w:val="Ttulo1"/>
      </w:pPr>
      <w:r>
        <w:t>1741, 20/12 – B</w:t>
      </w:r>
      <w:r w:rsidR="00755204">
        <w:t>ula Papal condena a escravidão</w:t>
      </w:r>
      <w:r>
        <w:t xml:space="preserve"> </w:t>
      </w:r>
    </w:p>
    <w:p w14:paraId="1461D4D5" w14:textId="77777777" w:rsidR="00BD3346" w:rsidRDefault="00BD3346" w:rsidP="00BD3346">
      <w:r>
        <w:t>Pela Bula “</w:t>
      </w:r>
      <w:proofErr w:type="spellStart"/>
      <w:r w:rsidRPr="00F934C8">
        <w:rPr>
          <w:i/>
        </w:rPr>
        <w:t>Immensa</w:t>
      </w:r>
      <w:proofErr w:type="spellEnd"/>
      <w:r w:rsidRPr="00F934C8">
        <w:rPr>
          <w:i/>
        </w:rPr>
        <w:t xml:space="preserve"> </w:t>
      </w:r>
      <w:proofErr w:type="spellStart"/>
      <w:r w:rsidRPr="00F934C8">
        <w:rPr>
          <w:i/>
        </w:rPr>
        <w:t>Pastorum</w:t>
      </w:r>
      <w:proofErr w:type="spellEnd"/>
      <w:r>
        <w:t xml:space="preserve">”, endereçada aos bispos do Brasil e de outras partes da América, o papa Bento XIV ordena o fim da escravidão de indígenas e africanos. Chama de desumanos os atos de prepotência contra os escravos e ameaça com a excomunhão os que maltratam os índios.  Por “maus tratos aos índios” o Pontífice entende escravizar, vender, comprar, trocar, dar, separar de suas mulheres e filhos, esbulhar, levar para outros lugares, cercear de qualquer modo a livre ação, deter no cativeiro. </w:t>
      </w:r>
    </w:p>
    <w:p w14:paraId="0C180277" w14:textId="26FACB83" w:rsidR="00BD3346" w:rsidRDefault="00BD3346" w:rsidP="00755204">
      <w:pPr>
        <w:pStyle w:val="Ttulo1"/>
      </w:pPr>
      <w:r>
        <w:t>1742, 06/01 – D</w:t>
      </w:r>
      <w:r w:rsidR="00755204">
        <w:t>ecretada guerra aos Caiapó</w:t>
      </w:r>
    </w:p>
    <w:p w14:paraId="10234AE0" w14:textId="77777777" w:rsidR="00BD3346" w:rsidRDefault="00BD3346" w:rsidP="00BD3346">
      <w:r>
        <w:t>Em 6 de janeiro de 1742, Luís de Mascarenhas, governador da Capitania de São Paulo, decretou guerra aos Caiapó. É contratado o sertanista paulista Antônio Pires de Campos que recebe a seguinte instrução: “não se rendendo os ditos Gentios, (...) os passarão a espada sem distinção ou diferença alguma de sexo; só não executarão a pena de morte os meninos e meninas de dez anos para baixo, porque estes os conduzirão a esta Villa para deles se tirar o quinto de Sua Majestade. E os mais serão repartidos por quem tocar”</w:t>
      </w:r>
    </w:p>
    <w:p w14:paraId="11A8173D" w14:textId="26C9A03D" w:rsidR="00BD3346" w:rsidRDefault="00BD3346" w:rsidP="00755204">
      <w:pPr>
        <w:pStyle w:val="Ttulo1"/>
      </w:pPr>
      <w:r>
        <w:t>1750, 13/01 – T</w:t>
      </w:r>
      <w:r w:rsidR="00755204">
        <w:t>ratado de Madri define fronteiras do Sul</w:t>
      </w:r>
    </w:p>
    <w:p w14:paraId="78904AAF" w14:textId="77777777" w:rsidR="00BD3346" w:rsidRDefault="00BD3346" w:rsidP="00BD3346">
      <w:r>
        <w:t xml:space="preserve">Em 13 de janeiro de 1750, o Tratado de Madri assinado pelos reis João V, de Portugal, e Fernando VI da Espanha, define os novos limites das possessões espanholas e portuguesas na América. O tratado baseou-se no princípio do “uti possidetis” (quem possui de fato, deve possuir de direito), delineando os contornos aproximados do Brasil de hoje. </w:t>
      </w:r>
    </w:p>
    <w:p w14:paraId="31566CD5" w14:textId="77777777" w:rsidR="00BD3346" w:rsidRDefault="00BD3346" w:rsidP="00BD3346">
      <w:r>
        <w:t xml:space="preserve">O Tratado de Madri interferia em um imenso território na bacia platina, cerca de 500 mil km2 que </w:t>
      </w:r>
      <w:proofErr w:type="gramStart"/>
      <w:r>
        <w:t>incluíam  sete</w:t>
      </w:r>
      <w:proofErr w:type="gramEnd"/>
      <w:r>
        <w:t xml:space="preserve"> missões jesuíticas habitadas por cerca de 26 mil índios Guarani, conhecidos como Sete Povos das Missões. Ali estava também a Colônia do Sacramento, fundada por Portugal em 1680.</w:t>
      </w:r>
    </w:p>
    <w:p w14:paraId="3E41B21C" w14:textId="77777777" w:rsidR="00BD3346" w:rsidRDefault="00BD3346" w:rsidP="00BD3346">
      <w:r>
        <w:t xml:space="preserve">O tratado determinava que Sacramento passaria para a Espanha, e Sete Povos das Missões para Portugal, com uma ressalva: sem os seus moradores. Os missionários e os indígenas deveriam sair das missões para “aldear em outras terras da Espanha” deixando para os portugueses suas terras, construções, lavouras. Os índios resistiram à mudança e a tensão criada resultou na Guerra </w:t>
      </w:r>
      <w:proofErr w:type="spellStart"/>
      <w:r>
        <w:t>Guaranitica</w:t>
      </w:r>
      <w:proofErr w:type="spellEnd"/>
      <w:r>
        <w:t xml:space="preserve"> (1754-1756).</w:t>
      </w:r>
    </w:p>
    <w:p w14:paraId="10F2B914" w14:textId="2DFF6C2E" w:rsidR="00BD3346" w:rsidRDefault="00BD3346" w:rsidP="00BB68B8">
      <w:pPr>
        <w:spacing w:line="240" w:lineRule="auto"/>
      </w:pPr>
      <w:r w:rsidRPr="00BB68B8">
        <w:rPr>
          <w:b/>
        </w:rPr>
        <w:t>Fonte:</w:t>
      </w:r>
      <w:r>
        <w:t xml:space="preserve"> Tratado de Madri, 13 de janeiro de 1750.</w:t>
      </w:r>
      <w:r w:rsidR="00E669A5">
        <w:t xml:space="preserve"> </w:t>
      </w:r>
      <w:hyperlink r:id="rId17" w:history="1">
        <w:r w:rsidR="00E669A5" w:rsidRPr="00EC2D13">
          <w:rPr>
            <w:rStyle w:val="Hyperlink"/>
          </w:rPr>
          <w:t>https://social.stoa.usp.br/articles/0015/6395/05_Tratado_de_Madrid_1750.pdf</w:t>
        </w:r>
      </w:hyperlink>
    </w:p>
    <w:p w14:paraId="6CB22200" w14:textId="027C7330" w:rsidR="00BD3346" w:rsidRDefault="00F934C8" w:rsidP="00E669A5">
      <w:pPr>
        <w:pStyle w:val="Ttulo"/>
      </w:pPr>
      <w:r>
        <w:t xml:space="preserve">GUERRA GUARANÍTICA </w:t>
      </w:r>
      <w:r w:rsidR="00E669A5">
        <w:t>(1754-1756)</w:t>
      </w:r>
      <w:r>
        <w:t>, RIO GRANDE DO SUL</w:t>
      </w:r>
    </w:p>
    <w:p w14:paraId="08CF4E98" w14:textId="77777777" w:rsidR="00BD3346" w:rsidRDefault="00BD3346" w:rsidP="00BD3346">
      <w:r>
        <w:t xml:space="preserve">Em 22 de fevereiro de 1754, o marquês de </w:t>
      </w:r>
      <w:proofErr w:type="spellStart"/>
      <w:r>
        <w:t>Valdelirios</w:t>
      </w:r>
      <w:proofErr w:type="spellEnd"/>
      <w:r>
        <w:t xml:space="preserve"> chegou a Buenos Aires procedente da Espanha com uma ordem real para o governador de Buenos Aires imediatamente levar à força das armas os moradores de Sete Povos e entregar o território aos portugueses.</w:t>
      </w:r>
    </w:p>
    <w:p w14:paraId="6264A6A6" w14:textId="77777777" w:rsidR="00BD3346" w:rsidRDefault="00BD3346" w:rsidP="00BD3346">
      <w:r>
        <w:t xml:space="preserve">Pelas cláusulas do Tratado de Madri (1750), os índios e missionários de Sete Povos das Missões deveriam deixar o local e migrar para território espanhol, entregando, aos portugueses, a terra com todas construções, lavouras, ervais, pastos e algodoais. Os índios, cerca de 26 mil pessoas, resistiram à mudança. Depois de tentativas dos jesuítas de reverter o tratado, espanhóis e portugueses decidiram, então, fazer a mudança das aldeias missioneiras à força. </w:t>
      </w:r>
    </w:p>
    <w:p w14:paraId="7C0578F4" w14:textId="77777777" w:rsidR="00BD3346" w:rsidRDefault="00BD3346" w:rsidP="00BD3346">
      <w:r>
        <w:lastRenderedPageBreak/>
        <w:t xml:space="preserve">Entre março e junho de 1754, tropas espanholas e portuguesas tentaram, em movimentos de convergência, empurrar os indígenas para a margem ocidental do rio Uruguai. Não tiveram sucesso. O mal tempo do inverno e a ajuda das tribos Charruas, </w:t>
      </w:r>
      <w:proofErr w:type="spellStart"/>
      <w:r>
        <w:t>Guenoas</w:t>
      </w:r>
      <w:proofErr w:type="spellEnd"/>
      <w:r>
        <w:t xml:space="preserve"> e Minuanos aos Guaranis detiveram os portugueses e espanhóis obrigando-os a recuar. </w:t>
      </w:r>
    </w:p>
    <w:p w14:paraId="48D0BF75" w14:textId="77777777" w:rsidR="00BD3346" w:rsidRDefault="00BD3346" w:rsidP="00BD3346">
      <w:r>
        <w:t xml:space="preserve">Em dezembro de 1755, as tropas espanholas e portuguesas decidiram lutar juntas contra os indígenas com o objetivo de capturar Sepé </w:t>
      </w:r>
      <w:proofErr w:type="spellStart"/>
      <w:r>
        <w:t>Tiaraju</w:t>
      </w:r>
      <w:proofErr w:type="spellEnd"/>
      <w:r>
        <w:t xml:space="preserve">, o chefe Guarani, que acabou sendo morto de 7 de fevereiro de 1756. A luta prosseguiu com os Guarani liderados por Nicolás </w:t>
      </w:r>
      <w:proofErr w:type="spellStart"/>
      <w:r>
        <w:t>Ñanguirú</w:t>
      </w:r>
      <w:proofErr w:type="spellEnd"/>
      <w:r>
        <w:t>.</w:t>
      </w:r>
    </w:p>
    <w:p w14:paraId="42AC863A" w14:textId="77777777" w:rsidR="00BD3346" w:rsidRDefault="00BD3346" w:rsidP="00BD3346">
      <w:r>
        <w:t xml:space="preserve">A batalha decisiva ocorreu em </w:t>
      </w:r>
      <w:proofErr w:type="spellStart"/>
      <w:r>
        <w:t>Caibaté</w:t>
      </w:r>
      <w:proofErr w:type="spellEnd"/>
      <w:r>
        <w:t xml:space="preserve"> (atual município do Rio Grande do Sul), em 10 de fevereiro de 1756, considerada uma das mais sangrentas da história do Brasil Colonial e, talvez, a mais desigual. O massacre inspirou o filme britânico “A Missão”, de 1986, ganhador de diversos Oscar.</w:t>
      </w:r>
    </w:p>
    <w:p w14:paraId="5504E9C9" w14:textId="77777777" w:rsidR="00BD3346" w:rsidRDefault="00BD3346" w:rsidP="00BD3346">
      <w:r>
        <w:t xml:space="preserve">Após a Batalha de </w:t>
      </w:r>
      <w:proofErr w:type="spellStart"/>
      <w:r>
        <w:t>Caibaté</w:t>
      </w:r>
      <w:proofErr w:type="spellEnd"/>
      <w:r>
        <w:t>, praticamente cessou a resistência Guarani e as missões jesuíticas foram despovoadas. Grupos Guarani continuaram hostilizando os portugueses e espanhóis praticando a tática de terra arrasada, queimando algumas aldeias. Em maio de 1756 ocorreu o último combate em São Miguel. Em 8 de junho, o governador de Buenos Aires deu por terminada a guerra e supervisionou a evacuação dos indígenas para a margem ocidental do rio Uruguai. O exército aliado permaneceu por dez meses nas Missões.</w:t>
      </w:r>
    </w:p>
    <w:p w14:paraId="11715E7F" w14:textId="77777777" w:rsidR="00BD3346" w:rsidRDefault="00BD3346" w:rsidP="00BD3346">
      <w:r>
        <w:t xml:space="preserve">A ironia dessa tragédia é que poucos anos depois, em 1761, os reis da Espanha e de Portugal assinaram o Tratado de El Pardo que anulava o Tratado de Madri. As causas disso foram as enormes dificuldades ao longo da década de 1750 para demarcar as possessões sul-americanas portuguesas e espanholas em uma área enorme e inóspita. Em 1801, o Tratado de </w:t>
      </w:r>
      <w:proofErr w:type="spellStart"/>
      <w:r>
        <w:t>Badajós</w:t>
      </w:r>
      <w:proofErr w:type="spellEnd"/>
      <w:r>
        <w:t xml:space="preserve"> incorporou os Sete Povos das Missões ao Brasil.</w:t>
      </w:r>
    </w:p>
    <w:p w14:paraId="0EE44D5D" w14:textId="190D1477" w:rsidR="00BD3346" w:rsidRDefault="00BD3346" w:rsidP="00BB68B8">
      <w:pPr>
        <w:spacing w:line="240" w:lineRule="auto"/>
      </w:pPr>
      <w:r w:rsidRPr="00E669A5">
        <w:rPr>
          <w:b/>
        </w:rPr>
        <w:t>Artigo completo:</w:t>
      </w:r>
      <w:r>
        <w:t xml:space="preserve"> </w:t>
      </w:r>
      <w:r w:rsidRPr="00E669A5">
        <w:rPr>
          <w:i/>
        </w:rPr>
        <w:t>Definição das fronteiras sulistas e o massacre dos Guarani</w:t>
      </w:r>
      <w:r>
        <w:t>. Ensinar História.</w:t>
      </w:r>
      <w:r w:rsidR="00E669A5">
        <w:t xml:space="preserve"> </w:t>
      </w:r>
      <w:hyperlink r:id="rId18" w:history="1">
        <w:r w:rsidR="00E669A5" w:rsidRPr="00EC2D13">
          <w:rPr>
            <w:rStyle w:val="Hyperlink"/>
          </w:rPr>
          <w:t>https://ensinarhistoriajoelza.com.br/definicao-das-fronteiras-sulistas-e-o-massacre-dos-guaranis/</w:t>
        </w:r>
      </w:hyperlink>
    </w:p>
    <w:p w14:paraId="538FFEF5" w14:textId="122FECDC" w:rsidR="00BD3346" w:rsidRDefault="00BD3346" w:rsidP="00E669A5">
      <w:pPr>
        <w:pStyle w:val="Ttulo"/>
      </w:pPr>
      <w:r>
        <w:t>1755</w:t>
      </w:r>
      <w:r w:rsidR="00E669A5">
        <w:t xml:space="preserve"> </w:t>
      </w:r>
      <w:r>
        <w:t xml:space="preserve">– CRIADO O DIRETÓRIO DOS ÍNDIOS </w:t>
      </w:r>
    </w:p>
    <w:p w14:paraId="5634E8D3" w14:textId="77777777" w:rsidR="00BD3346" w:rsidRDefault="00BD3346" w:rsidP="00BD3346">
      <w:r>
        <w:t>Em 7 de junho de 1755 foi elaborado o Diretório dos Índios pelo Marquês de Pombal, ministro do rei José I, de Portugal. O documento só se tornou público em 1757. Proposto inicialmente para a Amazônia, o Diretório acabou sendo estendido, em 1758, para todas as regiões da América portuguesa.</w:t>
      </w:r>
    </w:p>
    <w:p w14:paraId="6D19FA39" w14:textId="77777777" w:rsidR="00BD3346" w:rsidRDefault="00BD3346" w:rsidP="00BD3346">
      <w:r>
        <w:t xml:space="preserve">As reformas pombalinas das quais o Diretório faz parte visavam fortalecer o poder absoluto do rei de Portugal através de um controle mais rígido sobre sua colônia, afastando os setores que o desafiavam.  As ordens religiosas estabelecidas no Brasil por deterem o controle de grandes contingentes de índios aldeados e o monopólio da produção, transporte e venda de bens comerciáveis foram vistas pela Coroa como “um Estado dentro do Estado”. Daí o Diretório determinar o fim da administração dos padres sobre os índios, substituindo-a, nas vilas, pelo governo civil realizado pelos juízes ordinários, vereadores e oficiais de justiça. </w:t>
      </w:r>
    </w:p>
    <w:p w14:paraId="01B2859B" w14:textId="4148D424" w:rsidR="00BD3346" w:rsidRDefault="00BD3346" w:rsidP="00BD3346">
      <w:r>
        <w:t>As aldeias e missões foram elevadas a vilas, sendo as primeiras Barcelos e Borba (ambas no Amazonas), Monção e Viana (ambas</w:t>
      </w:r>
      <w:r w:rsidR="000A49C7">
        <w:t xml:space="preserve"> </w:t>
      </w:r>
      <w:r>
        <w:t xml:space="preserve">no Maranhão). Os índios ficaram sob a tutela de um Diretor nomeado pelo governador com a função de administrar a vila. Determinou-se a obrigação do ensino de português, o estabelecimento de escolas para meninos e meninas, e do pagamento do dízimo pelos indígenas. Pretendia-se, dessa forma, fixar </w:t>
      </w:r>
      <w:r w:rsidR="00755204">
        <w:t xml:space="preserve">e </w:t>
      </w:r>
      <w:r>
        <w:t>integrar os índios à sociedade dos brancos o que contribuiria, enfim, para defender o território.</w:t>
      </w:r>
    </w:p>
    <w:p w14:paraId="2737A86A" w14:textId="77777777" w:rsidR="00BD3346" w:rsidRDefault="00BD3346" w:rsidP="00BD3346">
      <w:r>
        <w:t>No contexto das reformas que estabeleceram o Diretório incluiu-se:</w:t>
      </w:r>
    </w:p>
    <w:p w14:paraId="1D44A9AD" w14:textId="093BFD2B" w:rsidR="00BD3346" w:rsidRDefault="00755204" w:rsidP="00755204">
      <w:pPr>
        <w:pStyle w:val="PargrafodaLista"/>
        <w:numPr>
          <w:ilvl w:val="0"/>
          <w:numId w:val="2"/>
        </w:numPr>
      </w:pPr>
      <w:r>
        <w:t>C</w:t>
      </w:r>
      <w:r w:rsidR="00BD3346">
        <w:t>riação da Capitania de São José do Rio Negro, separada da do Grão-Pará (1755).</w:t>
      </w:r>
    </w:p>
    <w:p w14:paraId="6E2E0A0B" w14:textId="5D6C076D" w:rsidR="00BD3346" w:rsidRDefault="00BD3346" w:rsidP="00755204">
      <w:pPr>
        <w:pStyle w:val="PargrafodaLista"/>
        <w:numPr>
          <w:ilvl w:val="0"/>
          <w:numId w:val="2"/>
        </w:numPr>
      </w:pPr>
      <w:r>
        <w:t>Abolição da escravidão indígena na Amazônia (1755)</w:t>
      </w:r>
    </w:p>
    <w:p w14:paraId="77442AAC" w14:textId="1465D244" w:rsidR="00BD3346" w:rsidRDefault="00BD3346" w:rsidP="00755204">
      <w:pPr>
        <w:pStyle w:val="PargrafodaLista"/>
        <w:numPr>
          <w:ilvl w:val="0"/>
          <w:numId w:val="2"/>
        </w:numPr>
      </w:pPr>
      <w:r>
        <w:t>Criação das Companhias de Comércio do Grão-Pará e Maranhão (1755)</w:t>
      </w:r>
    </w:p>
    <w:p w14:paraId="0D26113B" w14:textId="2140433C" w:rsidR="00BD3346" w:rsidRDefault="00BD3346" w:rsidP="00755204">
      <w:pPr>
        <w:pStyle w:val="PargrafodaLista"/>
        <w:numPr>
          <w:ilvl w:val="0"/>
          <w:numId w:val="2"/>
        </w:numPr>
      </w:pPr>
      <w:r>
        <w:t>Criação da Capitania do Piauí (1758)</w:t>
      </w:r>
    </w:p>
    <w:p w14:paraId="086FCAF2" w14:textId="3960280B" w:rsidR="00BD3346" w:rsidRDefault="00BD3346" w:rsidP="00755204">
      <w:pPr>
        <w:pStyle w:val="PargrafodaLista"/>
        <w:numPr>
          <w:ilvl w:val="0"/>
          <w:numId w:val="2"/>
        </w:numPr>
      </w:pPr>
      <w:r>
        <w:t>Abolição da escravidão indígena em toda colônia (1758)</w:t>
      </w:r>
    </w:p>
    <w:p w14:paraId="43C95678" w14:textId="38ED0045" w:rsidR="00BD3346" w:rsidRDefault="00BD3346" w:rsidP="00755204">
      <w:pPr>
        <w:pStyle w:val="PargrafodaLista"/>
        <w:numPr>
          <w:ilvl w:val="0"/>
          <w:numId w:val="2"/>
        </w:numPr>
      </w:pPr>
      <w:r>
        <w:t>Criação da Companhia Geral de Comércio de Pernambuco e Paraíba (1759).</w:t>
      </w:r>
    </w:p>
    <w:p w14:paraId="1E07080C" w14:textId="77301B79" w:rsidR="00BD3346" w:rsidRDefault="00BD3346" w:rsidP="00755204">
      <w:pPr>
        <w:pStyle w:val="PargrafodaLista"/>
        <w:numPr>
          <w:ilvl w:val="0"/>
          <w:numId w:val="2"/>
        </w:numPr>
      </w:pPr>
      <w:r>
        <w:t>Extinção do sistema de capitanias hereditárias (1759).</w:t>
      </w:r>
    </w:p>
    <w:p w14:paraId="0ECC6EA8" w14:textId="0B9AEAF2" w:rsidR="00BD3346" w:rsidRDefault="00BD3346" w:rsidP="00755204">
      <w:pPr>
        <w:pStyle w:val="PargrafodaLista"/>
        <w:numPr>
          <w:ilvl w:val="0"/>
          <w:numId w:val="2"/>
        </w:numPr>
      </w:pPr>
      <w:r>
        <w:t>Expulsão dos jesuítas do Brasil e confisco de seus bens (1759).</w:t>
      </w:r>
    </w:p>
    <w:p w14:paraId="5049D624" w14:textId="3E81C817" w:rsidR="00755204" w:rsidRDefault="00BD3346" w:rsidP="00755204">
      <w:pPr>
        <w:spacing w:after="0" w:line="240" w:lineRule="auto"/>
      </w:pPr>
      <w:r w:rsidRPr="00E669A5">
        <w:rPr>
          <w:b/>
        </w:rPr>
        <w:t>Fonte</w:t>
      </w:r>
      <w:r>
        <w:t xml:space="preserve"> </w:t>
      </w:r>
    </w:p>
    <w:p w14:paraId="1ACCF53C" w14:textId="3BA8F892" w:rsidR="00BD3346" w:rsidRDefault="00BD3346" w:rsidP="00755204">
      <w:pPr>
        <w:spacing w:after="0" w:line="240" w:lineRule="auto"/>
      </w:pPr>
      <w:r>
        <w:lastRenderedPageBreak/>
        <w:t xml:space="preserve">Diretório dos Índios. Texto integral. </w:t>
      </w:r>
      <w:hyperlink r:id="rId19" w:history="1">
        <w:r w:rsidR="00E669A5" w:rsidRPr="00EC2D13">
          <w:rPr>
            <w:rStyle w:val="Hyperlink"/>
          </w:rPr>
          <w:t>https://www.nacaomestica.org/diretorio_dos_indios.htm</w:t>
        </w:r>
      </w:hyperlink>
    </w:p>
    <w:p w14:paraId="4E8A14EF" w14:textId="77777777" w:rsidR="00BB68B8" w:rsidRDefault="00BB68B8" w:rsidP="00755204">
      <w:pPr>
        <w:spacing w:after="0" w:line="240" w:lineRule="auto"/>
      </w:pPr>
    </w:p>
    <w:p w14:paraId="43E8BCFD" w14:textId="136870C7" w:rsidR="00BD3346" w:rsidRDefault="00BD3346" w:rsidP="00755204">
      <w:pPr>
        <w:spacing w:after="0" w:line="240" w:lineRule="auto"/>
      </w:pPr>
      <w:r>
        <w:t xml:space="preserve">FLEXOR, Maria Helena </w:t>
      </w:r>
      <w:proofErr w:type="spellStart"/>
      <w:r>
        <w:t>Ochi</w:t>
      </w:r>
      <w:proofErr w:type="spellEnd"/>
      <w:r>
        <w:t>. A "civilização" dos índios e a formação do território do Brasil.</w:t>
      </w:r>
      <w:r w:rsidR="00E669A5">
        <w:t xml:space="preserve"> Campinas, SP: </w:t>
      </w:r>
      <w:proofErr w:type="spellStart"/>
      <w:r w:rsidR="00E669A5">
        <w:t>Histedbr</w:t>
      </w:r>
      <w:proofErr w:type="spellEnd"/>
      <w:r w:rsidR="00E669A5">
        <w:t xml:space="preserve">, 2006. </w:t>
      </w:r>
      <w:hyperlink r:id="rId20" w:history="1">
        <w:r w:rsidR="00E669A5" w:rsidRPr="00EC2D13">
          <w:rPr>
            <w:rStyle w:val="Hyperlink"/>
          </w:rPr>
          <w:t>http://www.histedbr.fe.unicamp.br/navegando/artigos_frames/artigo_073.html</w:t>
        </w:r>
      </w:hyperlink>
    </w:p>
    <w:p w14:paraId="045233F8" w14:textId="6CDB1D32" w:rsidR="00BD3346" w:rsidRDefault="00755204" w:rsidP="00755204">
      <w:pPr>
        <w:pStyle w:val="Ttulo1"/>
      </w:pPr>
      <w:r>
        <w:t>1755, 06/06 – Liberdade dos índios da Amazônia</w:t>
      </w:r>
      <w:r w:rsidR="00BD3346">
        <w:t xml:space="preserve"> </w:t>
      </w:r>
    </w:p>
    <w:p w14:paraId="60A051B0" w14:textId="77777777" w:rsidR="00BD3346" w:rsidRDefault="00BD3346" w:rsidP="00BD3346">
      <w:r>
        <w:t xml:space="preserve">Lei de 6 de junho de 1755 restitui aos índios do </w:t>
      </w:r>
      <w:proofErr w:type="gramStart"/>
      <w:r>
        <w:t>Grão Pará</w:t>
      </w:r>
      <w:proofErr w:type="gramEnd"/>
      <w:r>
        <w:t xml:space="preserve"> e Maranhão a liberdade de suas pessoas, bens e comércio, e proibia a escravização indígena em quaisquer circunstâncias. No mesmo ano, a Lei de Casamentos (Alvará de 4 de abril de 1755) incentivava a mestiçagem, isto é, o casamento de vassalos do reino com índias, garantindo-lhes as terras em que se estabelecessem. O objetivo era ocupar espaços, expandir o povoamento e estender a administração portuguesa para o interior da colônia contando com as populações indígenas, consideradas pela própria documentação como “muralhas do sertão”. </w:t>
      </w:r>
    </w:p>
    <w:p w14:paraId="05184F5C" w14:textId="3F91FA13" w:rsidR="00BD3346" w:rsidRDefault="00BD3346" w:rsidP="00755204">
      <w:pPr>
        <w:pStyle w:val="Ttulo1"/>
      </w:pPr>
      <w:r>
        <w:t>1756, 07/02 – A</w:t>
      </w:r>
      <w:r w:rsidR="00755204">
        <w:t xml:space="preserve">ssassinado Sepé </w:t>
      </w:r>
      <w:proofErr w:type="spellStart"/>
      <w:r w:rsidR="00755204">
        <w:t>Tiaraju</w:t>
      </w:r>
      <w:proofErr w:type="spellEnd"/>
      <w:r w:rsidR="00755204">
        <w:t>, líder guarani</w:t>
      </w:r>
    </w:p>
    <w:p w14:paraId="10A93273" w14:textId="77777777" w:rsidR="00BD3346" w:rsidRDefault="00BD3346" w:rsidP="00BD3346">
      <w:r>
        <w:t xml:space="preserve">No dia 7 de fevereiro de 1756, o líder Guarani Sepé </w:t>
      </w:r>
      <w:proofErr w:type="spellStart"/>
      <w:r>
        <w:t>Tiaraju</w:t>
      </w:r>
      <w:proofErr w:type="spellEnd"/>
      <w:r>
        <w:t xml:space="preserve"> foi assassinado por um tiro de pistola disparado pelo governador de Montevidéu, José </w:t>
      </w:r>
      <w:proofErr w:type="spellStart"/>
      <w:r>
        <w:t>Joaquín</w:t>
      </w:r>
      <w:proofErr w:type="spellEnd"/>
      <w:r>
        <w:t xml:space="preserve"> de Viana. Sepé </w:t>
      </w:r>
      <w:proofErr w:type="spellStart"/>
      <w:r>
        <w:t>Tiaraju</w:t>
      </w:r>
      <w:proofErr w:type="spellEnd"/>
      <w:r>
        <w:t xml:space="preserve"> liderava os indígenas contra as tropas luso-brasileiras e espanholas na Guerra Guaranítica. Com isso Nicolás </w:t>
      </w:r>
      <w:proofErr w:type="spellStart"/>
      <w:r>
        <w:t>Ñanguirú</w:t>
      </w:r>
      <w:proofErr w:type="spellEnd"/>
      <w:r>
        <w:t xml:space="preserve"> (palavra guarani que significa "flecha do diabo"), assumiu o comando dos guerrilheiros guaranis</w:t>
      </w:r>
    </w:p>
    <w:p w14:paraId="32FC06BE" w14:textId="77777777" w:rsidR="00BD3346" w:rsidRDefault="00BD3346" w:rsidP="00BD3346">
      <w:r>
        <w:t xml:space="preserve">Sepé </w:t>
      </w:r>
      <w:proofErr w:type="spellStart"/>
      <w:r>
        <w:t>Tiaraju</w:t>
      </w:r>
      <w:proofErr w:type="spellEnd"/>
      <w:r>
        <w:t xml:space="preserve"> nasceu em um dos aldeamentos jesuíticos dos Sete Povos das Missões, em data desconhecida. Foi batizado com o nome cristão de José. Na região, viviam aproximadamente 26 mil guaranis. Incluindo os indígenas do Paraguai e da Argentina, o total chegaria a 80 mil guaranis.</w:t>
      </w:r>
    </w:p>
    <w:p w14:paraId="2DD68E05" w14:textId="377C4ED3" w:rsidR="00BD3346" w:rsidRDefault="00BD3346" w:rsidP="00BB68B8">
      <w:pPr>
        <w:spacing w:line="240" w:lineRule="auto"/>
      </w:pPr>
      <w:r>
        <w:t xml:space="preserve">Artigo completo: </w:t>
      </w:r>
      <w:r w:rsidRPr="00E669A5">
        <w:rPr>
          <w:i/>
        </w:rPr>
        <w:t xml:space="preserve">Assassinado </w:t>
      </w:r>
      <w:proofErr w:type="spellStart"/>
      <w:r w:rsidRPr="00E669A5">
        <w:rPr>
          <w:i/>
        </w:rPr>
        <w:t>Sepe</w:t>
      </w:r>
      <w:proofErr w:type="spellEnd"/>
      <w:r w:rsidRPr="00E669A5">
        <w:rPr>
          <w:i/>
        </w:rPr>
        <w:t xml:space="preserve"> </w:t>
      </w:r>
      <w:proofErr w:type="spellStart"/>
      <w:r w:rsidRPr="00E669A5">
        <w:rPr>
          <w:i/>
        </w:rPr>
        <w:t>Tiaraju</w:t>
      </w:r>
      <w:proofErr w:type="spellEnd"/>
      <w:r w:rsidRPr="00E669A5">
        <w:rPr>
          <w:i/>
        </w:rPr>
        <w:t>, líder Guarani</w:t>
      </w:r>
      <w:r>
        <w:t>. Ensinar História.</w:t>
      </w:r>
      <w:r w:rsidR="00E669A5">
        <w:t xml:space="preserve"> </w:t>
      </w:r>
      <w:hyperlink r:id="rId21" w:history="1">
        <w:r w:rsidR="00E669A5" w:rsidRPr="00EC2D13">
          <w:rPr>
            <w:rStyle w:val="Hyperlink"/>
          </w:rPr>
          <w:t>https://ensinarhistoriajoelza.com.br/linha-do-tempo/assassinado-sepe-tiaraju-lider-guarani/</w:t>
        </w:r>
      </w:hyperlink>
    </w:p>
    <w:p w14:paraId="2EAE0CA9" w14:textId="4A08183C" w:rsidR="00BD3346" w:rsidRDefault="00BD3346" w:rsidP="00755204">
      <w:pPr>
        <w:pStyle w:val="Ttulo1"/>
      </w:pPr>
      <w:r>
        <w:t>1756, 10/02 – B</w:t>
      </w:r>
      <w:r w:rsidR="00755204">
        <w:t xml:space="preserve">atalha de </w:t>
      </w:r>
      <w:proofErr w:type="spellStart"/>
      <w:r w:rsidR="00755204">
        <w:t>Caibaté</w:t>
      </w:r>
      <w:proofErr w:type="spellEnd"/>
      <w:r w:rsidR="00755204">
        <w:t>, Rio Grande do Sul</w:t>
      </w:r>
    </w:p>
    <w:p w14:paraId="66287932" w14:textId="77777777" w:rsidR="00BD3346" w:rsidRDefault="00BD3346" w:rsidP="00BD3346">
      <w:r>
        <w:t xml:space="preserve">Em 10 de fevereiro de 1756, na colina de </w:t>
      </w:r>
      <w:proofErr w:type="spellStart"/>
      <w:r>
        <w:t>Caiboaté</w:t>
      </w:r>
      <w:proofErr w:type="spellEnd"/>
      <w:r>
        <w:t xml:space="preserve">, o exército espanhol e português, somando cerca de 2.500 homens, cercou </w:t>
      </w:r>
      <w:proofErr w:type="spellStart"/>
      <w:r>
        <w:t>Ñanguirú</w:t>
      </w:r>
      <w:proofErr w:type="spellEnd"/>
      <w:r>
        <w:t xml:space="preserve">, o líder Guarani e seus homens e os exterminou. No campo de batalha, 1.511 guarani foram mortos, entre eles o líder </w:t>
      </w:r>
      <w:proofErr w:type="spellStart"/>
      <w:r>
        <w:t>Ñanguirú</w:t>
      </w:r>
      <w:proofErr w:type="spellEnd"/>
      <w:r>
        <w:t>. Algumas centenas conseguiram fugir. O exército aliado sofreu apenas 4 mortos (3 espanhóis e um português) e 30 feridos. No dia seguinte, eles entraram em São Miguel e exigiram a rendição das outras cidades.</w:t>
      </w:r>
    </w:p>
    <w:p w14:paraId="39BE7025" w14:textId="77777777" w:rsidR="00BD3346" w:rsidRDefault="00BD3346" w:rsidP="00BD3346">
      <w:r>
        <w:t xml:space="preserve">Após este conflito, as missões jesuítas acabaram e a resistência guarani foi praticamente cessada. </w:t>
      </w:r>
    </w:p>
    <w:p w14:paraId="31AF73B8" w14:textId="17353C90" w:rsidR="00BD3346" w:rsidRDefault="00755204" w:rsidP="00755204">
      <w:pPr>
        <w:pStyle w:val="Ttulo1"/>
      </w:pPr>
      <w:r>
        <w:t>1758, 08/05 – Abolida a escravidão indígena no Brasil</w:t>
      </w:r>
      <w:r w:rsidR="00BD3346">
        <w:t xml:space="preserve"> </w:t>
      </w:r>
    </w:p>
    <w:p w14:paraId="32F72393" w14:textId="77777777" w:rsidR="00BD3346" w:rsidRDefault="00BD3346" w:rsidP="00BD3346">
      <w:r>
        <w:t>Pelo Alvará de 8 de maio de 1758, o Marquês de Pombal manda executar em todo o Brasil a Bula papal “</w:t>
      </w:r>
      <w:proofErr w:type="spellStart"/>
      <w:r w:rsidRPr="00F934C8">
        <w:rPr>
          <w:i/>
        </w:rPr>
        <w:t>Immensa</w:t>
      </w:r>
      <w:proofErr w:type="spellEnd"/>
      <w:r w:rsidRPr="00F934C8">
        <w:rPr>
          <w:i/>
        </w:rPr>
        <w:t xml:space="preserve"> </w:t>
      </w:r>
      <w:proofErr w:type="spellStart"/>
      <w:r w:rsidRPr="00F934C8">
        <w:rPr>
          <w:i/>
        </w:rPr>
        <w:t>Pastorum</w:t>
      </w:r>
      <w:proofErr w:type="spellEnd"/>
      <w:r>
        <w:t>” de 1741 apenas no tocante aos indígenas. A liberdade aos índios de todo Brasil de 1758 estendia a medida de 1755 estabelecida pelo Diretório que passava, então, a valer para toda a colônia. Fonte: Alvará de 8 de maio de 1758: funda a escravidão índia no Brasil. Nação Mestiça.  https://nacaomestica.org/blog4/?p=17862</w:t>
      </w:r>
    </w:p>
    <w:p w14:paraId="7D879A6B" w14:textId="16610CB0" w:rsidR="00BD3346" w:rsidRDefault="00BD3346" w:rsidP="00755204">
      <w:pPr>
        <w:pStyle w:val="Ttulo1"/>
      </w:pPr>
      <w:r>
        <w:t>1759, 03/09 – E</w:t>
      </w:r>
      <w:r w:rsidR="00755204">
        <w:t>xpulsão dos jesuítas do Brasil</w:t>
      </w:r>
      <w:r>
        <w:t xml:space="preserve"> </w:t>
      </w:r>
    </w:p>
    <w:p w14:paraId="563C093C" w14:textId="77777777" w:rsidR="00BD3346" w:rsidRDefault="00BD3346" w:rsidP="00BD3346">
      <w:r>
        <w:t>Em 3 de setembro de 1759, José I, rei de Portugal proclamou a "Lei de extermínio, proscrição e expulsão dos seus Reinos e Domínios Ultramarinos dos regulares da Companhia de Jesus” que incluía o imediato confisco das suas casas e bens. Naquele ato, o Rei afirmou que os jesuítas eram: "notórios rebeldes, traidores, adversários e agressores". Os jesuítas foram detidos nos principais colégios em cada região e expulsos para a Europa em 1760.</w:t>
      </w:r>
    </w:p>
    <w:p w14:paraId="2580314C" w14:textId="697B7BCA" w:rsidR="00BD3346" w:rsidRDefault="00BD3346" w:rsidP="00755204">
      <w:pPr>
        <w:pStyle w:val="Ttulo1"/>
      </w:pPr>
      <w:r>
        <w:lastRenderedPageBreak/>
        <w:t>1763, 31/08 – T</w:t>
      </w:r>
      <w:r w:rsidR="00755204">
        <w:t>ransferência da capital para o Rio de Janeiro</w:t>
      </w:r>
    </w:p>
    <w:p w14:paraId="41EFEF06" w14:textId="77777777" w:rsidR="00BD3346" w:rsidRDefault="00BD3346" w:rsidP="00BD3346">
      <w:r>
        <w:t xml:space="preserve">Em 31 de agosto de 1763, a cidade do Rio de Janeiro tornou-se a capital do vice-reino do Brasil. A iniciativa do ministro Marquês de Pombal explica-se pela importância econômica e estratégica da cidade a partir da exploração do ouro e diamantes em Minas Gerais. </w:t>
      </w:r>
    </w:p>
    <w:p w14:paraId="3525442F" w14:textId="7324590C" w:rsidR="00BD3346" w:rsidRDefault="00BD3346" w:rsidP="00BB68B8">
      <w:pPr>
        <w:spacing w:line="240" w:lineRule="auto"/>
      </w:pPr>
      <w:r w:rsidRPr="00E669A5">
        <w:rPr>
          <w:b/>
        </w:rPr>
        <w:t>Artigo completo:</w:t>
      </w:r>
      <w:r>
        <w:t xml:space="preserve"> </w:t>
      </w:r>
      <w:r w:rsidRPr="00E669A5">
        <w:rPr>
          <w:i/>
        </w:rPr>
        <w:t>Rio de Janeiro, capital do vice-reino do Brasil</w:t>
      </w:r>
      <w:r>
        <w:t>. Ensinar História.</w:t>
      </w:r>
      <w:r w:rsidR="00E669A5">
        <w:t xml:space="preserve"> </w:t>
      </w:r>
      <w:hyperlink r:id="rId22" w:history="1">
        <w:r w:rsidR="00BB68B8" w:rsidRPr="00234008">
          <w:rPr>
            <w:rStyle w:val="Hyperlink"/>
          </w:rPr>
          <w:t>https://ensinarhistoriajoelza.com.br/linha-do-tempo/rio-de-janeiro-capital-do-vice-reino-do-brasil/</w:t>
        </w:r>
      </w:hyperlink>
    </w:p>
    <w:p w14:paraId="7B386DC9" w14:textId="1E4A1F8B" w:rsidR="00BD3346" w:rsidRDefault="00BD3346" w:rsidP="00BB68B8">
      <w:pPr>
        <w:pStyle w:val="Ttulo1"/>
      </w:pPr>
      <w:r>
        <w:t>1774 – A</w:t>
      </w:r>
      <w:r w:rsidR="00BB68B8">
        <w:t xml:space="preserve">taque Guaicuru e </w:t>
      </w:r>
      <w:proofErr w:type="spellStart"/>
      <w:r w:rsidR="00BB68B8">
        <w:t>Paiaguá</w:t>
      </w:r>
      <w:proofErr w:type="spellEnd"/>
      <w:r w:rsidR="00BB68B8">
        <w:t>, Mato Grosso</w:t>
      </w:r>
    </w:p>
    <w:p w14:paraId="3ED8A4D1" w14:textId="77777777" w:rsidR="00BD3346" w:rsidRDefault="00BD3346" w:rsidP="00BD3346">
      <w:r>
        <w:t xml:space="preserve">Desde a descoberta de ouro no Mato Grosso, os Guaicuru e os </w:t>
      </w:r>
      <w:proofErr w:type="spellStart"/>
      <w:r>
        <w:t>Paiaguá</w:t>
      </w:r>
      <w:proofErr w:type="spellEnd"/>
      <w:r>
        <w:t xml:space="preserve"> impuseram forte resistência à ocupação portuguesa em suas terras realizando ataques contínuos. Para se protegerem, os portugueses construíram fortes onde atualmente se localizam as cidades de Corumbá e Miranda. Em 1791, João Albuquerque Cáceres, capitão-general do Mato Grosso conseguiu fazer as pazes com os Guaicuru, em Vila Bela da Santíssima Trindade. Os Guaicuru passaram a atuar como vaqueiros para os fazendeiros, e aliados dos portugueses contra os espanhóis.</w:t>
      </w:r>
    </w:p>
    <w:p w14:paraId="0D1B3833" w14:textId="43DDC68A" w:rsidR="00BD3346" w:rsidRDefault="00BD3346" w:rsidP="00BB68B8">
      <w:pPr>
        <w:pStyle w:val="Ttulo1"/>
      </w:pPr>
      <w:r>
        <w:t>1779 e 1781 – E</w:t>
      </w:r>
      <w:r w:rsidR="00BB68B8">
        <w:t>pidemia de varíola e sarampo no Pará</w:t>
      </w:r>
    </w:p>
    <w:p w14:paraId="6847BFA9" w14:textId="77777777" w:rsidR="00BD3346" w:rsidRDefault="00BD3346" w:rsidP="00BD3346">
      <w:r>
        <w:t xml:space="preserve">Surtos de varíola e sarampo no Pará, em 1779 e 1781 mataram mais de 15 mil índios. Junto com as fugas e os retornos para as antigas aldeias, as epidemias foram responsáveis pela constante diminuição da força de trabalho indígena, com o consequente aumento da demanda por mão de obra. Diretores de povoação e colonos intensificaram o emprego de descimentos, ocasionando a destruição e a desorganização de numerosos povos indígenas. </w:t>
      </w:r>
    </w:p>
    <w:p w14:paraId="2F34EE00" w14:textId="088883D6" w:rsidR="00BD3346" w:rsidRDefault="00BD3346" w:rsidP="00BB68B8">
      <w:pPr>
        <w:pStyle w:val="Ttulo1"/>
      </w:pPr>
      <w:r>
        <w:t xml:space="preserve">1780, 21/09 – </w:t>
      </w:r>
      <w:r w:rsidR="00BB68B8">
        <w:t xml:space="preserve">Aldeamento dos </w:t>
      </w:r>
      <w:r>
        <w:t>C</w:t>
      </w:r>
      <w:r w:rsidR="00BB68B8">
        <w:t>aiapó, Goiás</w:t>
      </w:r>
      <w:r>
        <w:t xml:space="preserve"> </w:t>
      </w:r>
    </w:p>
    <w:p w14:paraId="1C9B3AA3" w14:textId="77777777" w:rsidR="00BD3346" w:rsidRDefault="00BD3346" w:rsidP="00BD3346">
      <w:r>
        <w:t xml:space="preserve">Em março de 1780, iniciou-se um trabalho mais efetivo de aldeamento dos Caiapó do </w:t>
      </w:r>
      <w:proofErr w:type="gramStart"/>
      <w:r>
        <w:t>sul</w:t>
      </w:r>
      <w:proofErr w:type="gramEnd"/>
      <w:r>
        <w:t xml:space="preserve"> que há quase seis décadas promoviam ataques às fazendas e vilas de Goiás. Para isso foi formada uma bandeira chefiada pelo soldado José Luiz Pereira, que contou com 50 homens armados, sendo 26 índios Bororó e 12 índios </w:t>
      </w:r>
      <w:proofErr w:type="spellStart"/>
      <w:r>
        <w:t>Akroá</w:t>
      </w:r>
      <w:proofErr w:type="spellEnd"/>
      <w:r>
        <w:t xml:space="preserve">. A bandeira possuía ainda alguns intérpretes Caiapó capturados por uma expedição anos antes. </w:t>
      </w:r>
    </w:p>
    <w:p w14:paraId="5471CFCB" w14:textId="77777777" w:rsidR="00BD3346" w:rsidRDefault="00BD3346" w:rsidP="00BD3346">
      <w:r>
        <w:t>Seis meses depois, em 21 de setembro de 1780, a expedição retornou à Vila Boa trazendo um cacique Caiapó e seis guerreiros que, juntamente com suas famílias, somavam 36 índios. O grupo foi recebido de maneira cordial e afável e aceitaram ir viver no aldeamento Maria I, um local escolhido por eles. Outros grupos Caiapó chegaram no aldeamento e, em 1782, já havia 555 índios vivendo em Maria I.</w:t>
      </w:r>
    </w:p>
    <w:p w14:paraId="327E5360" w14:textId="55655340" w:rsidR="00BD3346" w:rsidRDefault="00BD3346" w:rsidP="00BB68B8">
      <w:pPr>
        <w:pStyle w:val="Ttulo1"/>
      </w:pPr>
      <w:r>
        <w:t xml:space="preserve">1788, 13/01 – </w:t>
      </w:r>
      <w:r w:rsidR="00BB68B8">
        <w:t>Aldeamento dos Xavante, Goiás</w:t>
      </w:r>
    </w:p>
    <w:p w14:paraId="33514691" w14:textId="77777777" w:rsidR="00BD3346" w:rsidRDefault="00BD3346" w:rsidP="00BD3346">
      <w:r>
        <w:t xml:space="preserve">Os Xavante que habitavam a região do Araguaia eram bastante temidos pelos moradores do centro e norte de Goiás. Atribuía-se a esses indígenas a responsabilidade pela decadência da província. Várias bandeiras foram organizadas para sua captura, mas sem resultado. Uma delas foi a de Miguel Arruda e Sá, em 1783, que chegou a prender um homem, quatro mulheres algumas crianças Xavante. Os prisioneiros foram levados para Vila Boa, onde o governador Tristão da Cunha Menezes os recebeu cordialmente conforme a prática de “brandura” e “suavidade” recomendada pelo Diretório dos Índios. </w:t>
      </w:r>
    </w:p>
    <w:p w14:paraId="500D0776" w14:textId="77777777" w:rsidR="00BD3346" w:rsidRDefault="00BD3346" w:rsidP="00BD3346">
      <w:r>
        <w:t xml:space="preserve">Uma nova bandeira foi organizada com a participação do Xavante capturado para negociar a paz. Finalmente, no dia 13 de janeiro de 1788, o líder Xavante </w:t>
      </w:r>
      <w:proofErr w:type="spellStart"/>
      <w:r>
        <w:t>Arientemô-Iaxê-Qui</w:t>
      </w:r>
      <w:proofErr w:type="spellEnd"/>
      <w:r>
        <w:t>, acompanhado por mais de 3.000 índios, fez solene entrada no aldeamento Carretão, construído especialmente para eles.</w:t>
      </w:r>
    </w:p>
    <w:p w14:paraId="1EE40B18" w14:textId="77777777" w:rsidR="00BD3346" w:rsidRDefault="00BD3346" w:rsidP="00BD3346">
      <w:r>
        <w:t xml:space="preserve">O aldeamento Carretão, em Goiás, durante sua existência congregou outros grupos indígenas além dos Xavante, como os Caiapó, </w:t>
      </w:r>
      <w:proofErr w:type="spellStart"/>
      <w:r>
        <w:t>Carajá</w:t>
      </w:r>
      <w:proofErr w:type="spellEnd"/>
      <w:r>
        <w:t xml:space="preserve">, </w:t>
      </w:r>
      <w:proofErr w:type="spellStart"/>
      <w:r>
        <w:t>Javaé</w:t>
      </w:r>
      <w:proofErr w:type="spellEnd"/>
      <w:r>
        <w:t xml:space="preserve"> e </w:t>
      </w:r>
      <w:proofErr w:type="spellStart"/>
      <w:r>
        <w:t>Xerente</w:t>
      </w:r>
      <w:proofErr w:type="spellEnd"/>
      <w:r>
        <w:t>.</w:t>
      </w:r>
    </w:p>
    <w:p w14:paraId="2D8A474D" w14:textId="1177622E" w:rsidR="00BD3346" w:rsidRDefault="00BD3346" w:rsidP="00BB68B8">
      <w:pPr>
        <w:spacing w:line="240" w:lineRule="auto"/>
      </w:pPr>
      <w:r w:rsidRPr="00E669A5">
        <w:rPr>
          <w:b/>
        </w:rPr>
        <w:t>Fonte:</w:t>
      </w:r>
      <w:r>
        <w:t xml:space="preserve"> MOURA, Marlene Castro </w:t>
      </w:r>
      <w:proofErr w:type="spellStart"/>
      <w:r>
        <w:t>Ossami</w:t>
      </w:r>
      <w:proofErr w:type="spellEnd"/>
      <w:r>
        <w:t xml:space="preserve"> de. </w:t>
      </w:r>
      <w:r w:rsidRPr="00E669A5">
        <w:rPr>
          <w:i/>
        </w:rPr>
        <w:t xml:space="preserve">Aldeamento Carretão: “marco zero” da história das relações </w:t>
      </w:r>
      <w:proofErr w:type="spellStart"/>
      <w:r w:rsidRPr="00E669A5">
        <w:rPr>
          <w:i/>
        </w:rPr>
        <w:t>interétnicas</w:t>
      </w:r>
      <w:proofErr w:type="spellEnd"/>
      <w:r w:rsidRPr="00E669A5">
        <w:rPr>
          <w:i/>
        </w:rPr>
        <w:t xml:space="preserve"> dos tapuios</w:t>
      </w:r>
      <w:r>
        <w:t xml:space="preserve">.  </w:t>
      </w:r>
      <w:hyperlink r:id="rId23" w:history="1">
        <w:r w:rsidR="00E669A5" w:rsidRPr="00EC2D13">
          <w:rPr>
            <w:rStyle w:val="Hyperlink"/>
          </w:rPr>
          <w:t>file:///C:/Users/clebe/AppData/Local/Temp/2436-Texto%20do%20artigo-3856-1-10-20120307.pdf</w:t>
        </w:r>
      </w:hyperlink>
    </w:p>
    <w:p w14:paraId="6B557908" w14:textId="1F3B0FC1" w:rsidR="00BD3346" w:rsidRDefault="00BD3346" w:rsidP="00BB68B8">
      <w:pPr>
        <w:pStyle w:val="Ttulo1"/>
      </w:pPr>
      <w:r>
        <w:lastRenderedPageBreak/>
        <w:t>1789 – I</w:t>
      </w:r>
      <w:r w:rsidR="00BB68B8">
        <w:t>nconfidência Mineira desmantelada</w:t>
      </w:r>
    </w:p>
    <w:p w14:paraId="49111155" w14:textId="77777777" w:rsidR="00BD3346" w:rsidRDefault="00BD3346" w:rsidP="00BD3346">
      <w:r>
        <w:t>Em junho de 1789, o visconde de Barbacena, governador das Minas, mandou abrir a sua devassa com base nas denúncias de Silvério dos Reis e outros. Os réus foram acusados do crime de “lesa majestade” e, portanto, de “inconfidência” (infidelidade ao rei). Os líderes foram detidos e depois enviados ao Rio de Janeiro.</w:t>
      </w:r>
    </w:p>
    <w:p w14:paraId="0D941066" w14:textId="01C62DE8" w:rsidR="00BD3346" w:rsidRDefault="00BD3346" w:rsidP="00BB68B8">
      <w:pPr>
        <w:pStyle w:val="Ttulo1"/>
      </w:pPr>
      <w:r>
        <w:t>1791, 01/08 – T</w:t>
      </w:r>
      <w:r w:rsidR="00BB68B8">
        <w:t>ratado de paz com os Guaicuru, Mato Grosso</w:t>
      </w:r>
    </w:p>
    <w:p w14:paraId="0445E197" w14:textId="77777777" w:rsidR="00BD3346" w:rsidRDefault="00BD3346" w:rsidP="00BD3346">
      <w:r>
        <w:t xml:space="preserve">Para pôr fim aos ataques Guaicuru, em 1º de agosto de 1791, a Coroa Portuguesa firma um Termo de Perpétua Paz e Amizade com os líderes indígenas </w:t>
      </w:r>
      <w:proofErr w:type="spellStart"/>
      <w:r>
        <w:t>Emavidi</w:t>
      </w:r>
      <w:proofErr w:type="spellEnd"/>
      <w:r>
        <w:t xml:space="preserve"> </w:t>
      </w:r>
      <w:proofErr w:type="spellStart"/>
      <w:r>
        <w:t>Xané</w:t>
      </w:r>
      <w:proofErr w:type="spellEnd"/>
      <w:r>
        <w:t xml:space="preserve"> (Paulo Joaquim José Ferreira) e </w:t>
      </w:r>
      <w:proofErr w:type="spellStart"/>
      <w:r>
        <w:t>Caimá</w:t>
      </w:r>
      <w:proofErr w:type="spellEnd"/>
      <w:r>
        <w:t xml:space="preserve"> (João Queima de Albuquerque). Por esse documento, os Guaicuru reconheciam a suserania dos reis portugueses, e tinham assegurado a posse de um extenso território e a aliança portuguesa para as suas guerras. Essa aliança foi uma estratégia política importante para que Portugal tivesse êxito na delimitação da fronteira no sul da Capitania de Mato Grosso.</w:t>
      </w:r>
    </w:p>
    <w:p w14:paraId="0630833D" w14:textId="4BEF7B0D" w:rsidR="00BD3346" w:rsidRDefault="00BD3346" w:rsidP="00BB68B8">
      <w:pPr>
        <w:pStyle w:val="Ttulo1"/>
      </w:pPr>
      <w:r>
        <w:t>1792, 21/04 – E</w:t>
      </w:r>
      <w:r w:rsidR="00BB68B8">
        <w:t>xecução de Tiradentes, Rio de Janeiro</w:t>
      </w:r>
    </w:p>
    <w:p w14:paraId="0E27686C" w14:textId="77777777" w:rsidR="00BD3346" w:rsidRDefault="00BD3346" w:rsidP="00BD3346">
      <w:r>
        <w:t>Em 21 de abril de 1792, Joaquim José da Silva Xavier, apelidado de Tiradentes, foi executado na forca por crime de “lesa-majestade”, isto é, de traição contra a rainha D. Maria I. Tiradentes e vários outros foram condenados à forca. Algumas horas depois, uma carta de clemência da rainha D. Maria I transformava todas as penas em degredo (expulsão do Brasil), com exceção de Tiradentes.</w:t>
      </w:r>
    </w:p>
    <w:p w14:paraId="18DD9FA0" w14:textId="7ADAC9F0" w:rsidR="00BD3346" w:rsidRDefault="00BD3346" w:rsidP="00BB68B8">
      <w:pPr>
        <w:spacing w:line="240" w:lineRule="auto"/>
      </w:pPr>
      <w:r w:rsidRPr="00E669A5">
        <w:rPr>
          <w:b/>
        </w:rPr>
        <w:t>Artigo completo:</w:t>
      </w:r>
      <w:r>
        <w:t xml:space="preserve"> </w:t>
      </w:r>
      <w:r w:rsidRPr="00E669A5">
        <w:rPr>
          <w:i/>
        </w:rPr>
        <w:t>Execução de Tiradentes na forca</w:t>
      </w:r>
      <w:r>
        <w:t xml:space="preserve">. Ensinar História. </w:t>
      </w:r>
      <w:hyperlink r:id="rId24" w:history="1">
        <w:r w:rsidR="00E669A5" w:rsidRPr="00EC2D13">
          <w:rPr>
            <w:rStyle w:val="Hyperlink"/>
          </w:rPr>
          <w:t>https://ensinarhistoriajoelza.com.br/linha-do-tempo/execucao-de-tiradentes-na-forca-rio-de-janeiro/</w:t>
        </w:r>
      </w:hyperlink>
    </w:p>
    <w:p w14:paraId="53C36325" w14:textId="257626AE" w:rsidR="00BD3346" w:rsidRDefault="00BD3346" w:rsidP="00BB68B8">
      <w:pPr>
        <w:pStyle w:val="Ttulo1"/>
      </w:pPr>
      <w:r>
        <w:t>1798, 12/08 – D</w:t>
      </w:r>
      <w:r w:rsidR="00BB68B8">
        <w:t>escoberta a Conjuração dos Alfaiates, Bahia</w:t>
      </w:r>
    </w:p>
    <w:p w14:paraId="40B6AE9D" w14:textId="77777777" w:rsidR="00BB68B8" w:rsidRDefault="00BD3346" w:rsidP="00BD3346">
      <w:r>
        <w:t xml:space="preserve">Em 12 de agosto de 1798, foram detidos em Salvador os participantes da Conjuração dos Alfaiates. </w:t>
      </w:r>
    </w:p>
    <w:p w14:paraId="0E85F959" w14:textId="3B5588DD" w:rsidR="00BD3346" w:rsidRDefault="00BD3346" w:rsidP="00BB68B8">
      <w:pPr>
        <w:spacing w:line="240" w:lineRule="auto"/>
      </w:pPr>
      <w:r w:rsidRPr="00E669A5">
        <w:rPr>
          <w:b/>
        </w:rPr>
        <w:t xml:space="preserve">Artigo completo: </w:t>
      </w:r>
      <w:r w:rsidRPr="00E669A5">
        <w:rPr>
          <w:i/>
        </w:rPr>
        <w:t>Descoberta a Conjuração dos Alfaiates, Bahia</w:t>
      </w:r>
      <w:r>
        <w:t xml:space="preserve">. Ensinar História. </w:t>
      </w:r>
      <w:hyperlink r:id="rId25" w:history="1">
        <w:r w:rsidR="00E669A5" w:rsidRPr="00EC2D13">
          <w:rPr>
            <w:rStyle w:val="Hyperlink"/>
          </w:rPr>
          <w:t>https://ensinarhistoriajoelza.com.br/linha-do-tempo/conjuracao-dos-alfaiates-bahia/</w:t>
        </w:r>
      </w:hyperlink>
    </w:p>
    <w:p w14:paraId="670DD6CE" w14:textId="053DDA75" w:rsidR="00BD3346" w:rsidRDefault="00BD3346" w:rsidP="00BB68B8">
      <w:pPr>
        <w:pStyle w:val="Ttulo1"/>
      </w:pPr>
      <w:r>
        <w:t>1798, 12/05 – E</w:t>
      </w:r>
      <w:r w:rsidR="00BB68B8">
        <w:t>xtinção do Diretório dos Índios</w:t>
      </w:r>
    </w:p>
    <w:p w14:paraId="18F6892F" w14:textId="77777777" w:rsidR="00BD3346" w:rsidRDefault="00BD3346" w:rsidP="00BD3346">
      <w:r>
        <w:t>Em 12 de maio de 1798, o regime do Diretório dos Índios foi extinto, a legislação pombalina abolida e os índios declarados vassalos livres. Os contratos de trabalho dos indígenas “domesticados” que habitavam os aldeamentos passaram aos cuidados dos juízes de órfãos. Os juízes e o Estado brasileiro velavam pelos bens dos índios, visto como incapazes de assegurar seus direitos. O espírito “integrador” do Diretório, contudo, conservaria a sua força na legislação do Império Brasileiro.</w:t>
      </w:r>
    </w:p>
    <w:p w14:paraId="7A5D5BA3" w14:textId="77777777" w:rsidR="000A49C7" w:rsidRDefault="000A49C7" w:rsidP="00BD3346"/>
    <w:p w14:paraId="69EF6D34" w14:textId="1645D3AD" w:rsidR="00BD3346" w:rsidRPr="00BB68B8" w:rsidRDefault="00E669A5" w:rsidP="00BB68B8">
      <w:pPr>
        <w:spacing w:after="0" w:line="240" w:lineRule="auto"/>
        <w:contextualSpacing/>
        <w:rPr>
          <w:sz w:val="24"/>
          <w:szCs w:val="24"/>
        </w:rPr>
      </w:pPr>
      <w:r w:rsidRPr="00BB68B8">
        <w:rPr>
          <w:sz w:val="24"/>
          <w:szCs w:val="24"/>
        </w:rPr>
        <w:t>REFERÊNCIAS BIBLIOGRÁFICAS</w:t>
      </w:r>
    </w:p>
    <w:p w14:paraId="21161171" w14:textId="77777777" w:rsidR="00BB68B8" w:rsidRDefault="00BB68B8" w:rsidP="00BB68B8">
      <w:pPr>
        <w:spacing w:after="0" w:line="240" w:lineRule="auto"/>
        <w:contextualSpacing/>
      </w:pPr>
    </w:p>
    <w:p w14:paraId="4579AC05" w14:textId="77777777" w:rsidR="00BB68B8" w:rsidRDefault="00E669A5" w:rsidP="00BB68B8">
      <w:pPr>
        <w:spacing w:after="120" w:line="240" w:lineRule="auto"/>
        <w:contextualSpacing/>
      </w:pPr>
      <w:r>
        <w:t xml:space="preserve">SLEMIAN, Andréa [et </w:t>
      </w:r>
      <w:proofErr w:type="gramStart"/>
      <w:r>
        <w:t>ali.]</w:t>
      </w:r>
      <w:proofErr w:type="gramEnd"/>
      <w:r>
        <w:t xml:space="preserve">. </w:t>
      </w:r>
      <w:r w:rsidR="00BD3346" w:rsidRPr="00E669A5">
        <w:rPr>
          <w:i/>
        </w:rPr>
        <w:t>Cronologia da história do Brasil colonial (1500-1831)</w:t>
      </w:r>
      <w:r w:rsidR="00BD3346">
        <w:t>. São Paulo: FFLCH-USP, 1994.</w:t>
      </w:r>
    </w:p>
    <w:p w14:paraId="2B05608A" w14:textId="77777777" w:rsidR="00BB68B8" w:rsidRDefault="00BB68B8" w:rsidP="00BB68B8">
      <w:pPr>
        <w:spacing w:after="120" w:line="240" w:lineRule="auto"/>
        <w:contextualSpacing/>
      </w:pPr>
    </w:p>
    <w:p w14:paraId="6C7FE56D" w14:textId="77777777" w:rsidR="00BC6821" w:rsidRPr="00AE405F" w:rsidRDefault="00BC6821" w:rsidP="00BC6821">
      <w:r>
        <w:t xml:space="preserve">GURGEL, Cristina. </w:t>
      </w:r>
      <w:r w:rsidRPr="003C3096">
        <w:rPr>
          <w:i/>
        </w:rPr>
        <w:t>Doenças e curas. O Brasil nos primeiros séculos</w:t>
      </w:r>
      <w:r>
        <w:t>. São Paulo: Contexto, 2020.</w:t>
      </w:r>
    </w:p>
    <w:p w14:paraId="18106C7F" w14:textId="77777777" w:rsidR="00BD3346" w:rsidRDefault="00BD3346" w:rsidP="00BB68B8">
      <w:pPr>
        <w:spacing w:after="120" w:line="240" w:lineRule="auto"/>
        <w:contextualSpacing/>
      </w:pPr>
      <w:r>
        <w:t xml:space="preserve">CUNHA, Manuela Carneiro da (org.). </w:t>
      </w:r>
      <w:r w:rsidRPr="00E669A5">
        <w:rPr>
          <w:i/>
        </w:rPr>
        <w:t>História dos Índios no Brasil.</w:t>
      </w:r>
      <w:r>
        <w:t xml:space="preserve"> São Paulo: Companhia das Letras, 2009.</w:t>
      </w:r>
    </w:p>
    <w:p w14:paraId="4A5568BF" w14:textId="77777777" w:rsidR="00BB68B8" w:rsidRDefault="00BB68B8" w:rsidP="00BB68B8">
      <w:pPr>
        <w:spacing w:after="120" w:line="240" w:lineRule="auto"/>
        <w:contextualSpacing/>
      </w:pPr>
    </w:p>
    <w:p w14:paraId="512BC028" w14:textId="77777777" w:rsidR="00BD3346" w:rsidRDefault="00BD3346" w:rsidP="00BB68B8">
      <w:pPr>
        <w:spacing w:after="120" w:line="240" w:lineRule="auto"/>
        <w:contextualSpacing/>
      </w:pPr>
      <w:r>
        <w:t xml:space="preserve">MONTEIRO, John Manuel. </w:t>
      </w:r>
      <w:r w:rsidRPr="00985000">
        <w:rPr>
          <w:i/>
        </w:rPr>
        <w:t>Negros da Terra: índios e bandeirantes na origem de São Paulo</w:t>
      </w:r>
      <w:r>
        <w:t>. São Paulo: Companhia das Letras, 1994.</w:t>
      </w:r>
    </w:p>
    <w:p w14:paraId="49A054C8" w14:textId="77777777" w:rsidR="00BB68B8" w:rsidRDefault="00BB68B8" w:rsidP="00BB68B8">
      <w:pPr>
        <w:spacing w:after="120" w:line="240" w:lineRule="auto"/>
        <w:contextualSpacing/>
      </w:pPr>
    </w:p>
    <w:p w14:paraId="35AB6E98" w14:textId="67087524" w:rsidR="00E07A49" w:rsidRPr="00AE405F" w:rsidRDefault="00BD3346" w:rsidP="00BB68B8">
      <w:pPr>
        <w:spacing w:after="120" w:line="240" w:lineRule="auto"/>
        <w:contextualSpacing/>
      </w:pPr>
      <w:r>
        <w:t xml:space="preserve">OLIVEIRA, João Pacheco de; ROCHA, Carlos Augusto da. </w:t>
      </w:r>
      <w:r w:rsidRPr="00985000">
        <w:rPr>
          <w:i/>
        </w:rPr>
        <w:t>A presença indígena na formação do Brasil</w:t>
      </w:r>
      <w:r>
        <w:t xml:space="preserve">. Brasília: </w:t>
      </w:r>
      <w:r w:rsidR="00BC6821">
        <w:t>Ministério da Educação, SECAD; LACED/Museu Nacional</w:t>
      </w:r>
      <w:r w:rsidR="00985000">
        <w:t>, 2006.</w:t>
      </w:r>
      <w:r w:rsidR="00BC6821">
        <w:t xml:space="preserve"> </w:t>
      </w:r>
      <w:r w:rsidR="00985000">
        <w:t xml:space="preserve">Disponível em: </w:t>
      </w:r>
      <w:hyperlink r:id="rId26" w:history="1">
        <w:r w:rsidR="00985000" w:rsidRPr="00EC2D13">
          <w:rPr>
            <w:rStyle w:val="Hyperlink"/>
          </w:rPr>
          <w:t>http://www.dominiopublico.gov.br/download/texto/me004372.pdf</w:t>
        </w:r>
      </w:hyperlink>
      <w:bookmarkStart w:id="0" w:name="_GoBack"/>
      <w:bookmarkEnd w:id="0"/>
    </w:p>
    <w:sectPr w:rsidR="00E07A49" w:rsidRPr="00AE405F" w:rsidSect="00082DF3">
      <w:headerReference w:type="even" r:id="rId27"/>
      <w:headerReference w:type="default" r:id="rId28"/>
      <w:footerReference w:type="even" r:id="rId29"/>
      <w:footerReference w:type="default" r:id="rId30"/>
      <w:headerReference w:type="first" r:id="rId31"/>
      <w:footerReference w:type="first" r:id="rId32"/>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58D9C3" w14:textId="77777777" w:rsidR="00190F7B" w:rsidRDefault="00190F7B" w:rsidP="00FE74B7">
      <w:pPr>
        <w:spacing w:after="0" w:line="240" w:lineRule="auto"/>
      </w:pPr>
      <w:r>
        <w:separator/>
      </w:r>
    </w:p>
  </w:endnote>
  <w:endnote w:type="continuationSeparator" w:id="0">
    <w:p w14:paraId="6497B7F9" w14:textId="77777777" w:rsidR="00190F7B" w:rsidRDefault="00190F7B" w:rsidP="00FE7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BD014F" w14:textId="77777777" w:rsidR="006230C7" w:rsidRDefault="006230C7">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1BC7B" w14:textId="77777777" w:rsidR="006230C7" w:rsidRDefault="006230C7">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4FEBB4" w14:textId="77777777" w:rsidR="006230C7" w:rsidRDefault="006230C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BDEF3D" w14:textId="77777777" w:rsidR="00190F7B" w:rsidRDefault="00190F7B" w:rsidP="00FE74B7">
      <w:pPr>
        <w:spacing w:after="0" w:line="240" w:lineRule="auto"/>
      </w:pPr>
      <w:r>
        <w:separator/>
      </w:r>
    </w:p>
  </w:footnote>
  <w:footnote w:type="continuationSeparator" w:id="0">
    <w:p w14:paraId="5EE5061D" w14:textId="77777777" w:rsidR="00190F7B" w:rsidRDefault="00190F7B" w:rsidP="00FE74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E4B9D1" w14:textId="31B30AD0" w:rsidR="00FE74B7" w:rsidRDefault="00190F7B">
    <w:pPr>
      <w:pStyle w:val="Cabealho"/>
    </w:pPr>
    <w:r>
      <w:rPr>
        <w:noProof/>
      </w:rPr>
      <w:pict w14:anchorId="3CB2A7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635219" o:spid="_x0000_s2068" type="#_x0000_t75" style="position:absolute;margin-left:0;margin-top:0;width:596.25pt;height:843.85pt;z-index:-251646976;mso-position-horizontal:center;mso-position-horizontal-relative:margin;mso-position-vertical:center;mso-position-vertical-relative:margin" o:allowincell="f">
          <v:imagedata r:id="rId1" o:title="Timbrado"/>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7DC205" w14:textId="63ACEAE5" w:rsidR="00FE74B7" w:rsidRDefault="00BD3346">
    <w:pPr>
      <w:pStyle w:val="Cabealho"/>
    </w:pPr>
    <w:r>
      <w:rPr>
        <w:noProof/>
        <w:lang w:eastAsia="pt-BR"/>
      </w:rPr>
      <mc:AlternateContent>
        <mc:Choice Requires="wps">
          <w:drawing>
            <wp:anchor distT="45720" distB="45720" distL="114300" distR="114300" simplePos="0" relativeHeight="251662336" behindDoc="0" locked="0" layoutInCell="1" allowOverlap="1" wp14:anchorId="338FADF9" wp14:editId="3532895B">
              <wp:simplePos x="0" y="0"/>
              <wp:positionH relativeFrom="margin">
                <wp:posOffset>-500380</wp:posOffset>
              </wp:positionH>
              <wp:positionV relativeFrom="paragraph">
                <wp:posOffset>-259715</wp:posOffset>
              </wp:positionV>
              <wp:extent cx="6540500" cy="448310"/>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0500" cy="448310"/>
                      </a:xfrm>
                      <a:prstGeom prst="rect">
                        <a:avLst/>
                      </a:prstGeom>
                      <a:noFill/>
                      <a:ln w="9525">
                        <a:noFill/>
                        <a:miter lim="800000"/>
                        <a:headEnd/>
                        <a:tailEnd/>
                      </a:ln>
                    </wps:spPr>
                    <wps:txbx>
                      <w:txbxContent>
                        <w:p w14:paraId="6CA3D18B" w14:textId="0EF313A7" w:rsidR="0081019A" w:rsidRPr="00887CB7" w:rsidRDefault="00BD3346" w:rsidP="00BB2C10">
                          <w:pPr>
                            <w:jc w:val="center"/>
                            <w:rPr>
                              <w:rFonts w:cstheme="minorHAnsi"/>
                              <w:b/>
                              <w:bCs/>
                              <w:color w:val="595959" w:themeColor="text1" w:themeTint="A6"/>
                              <w:sz w:val="36"/>
                              <w:szCs w:val="36"/>
                            </w:rPr>
                          </w:pPr>
                          <w:r>
                            <w:rPr>
                              <w:rFonts w:cstheme="minorHAnsi"/>
                              <w:b/>
                              <w:bCs/>
                              <w:color w:val="595959" w:themeColor="text1" w:themeTint="A6"/>
                              <w:sz w:val="36"/>
                              <w:szCs w:val="36"/>
                            </w:rPr>
                            <w:t>POVOS INDÍGENAS</w:t>
                          </w:r>
                          <w:r w:rsidR="006230C7">
                            <w:rPr>
                              <w:rFonts w:cstheme="minorHAnsi"/>
                              <w:b/>
                              <w:bCs/>
                              <w:color w:val="595959" w:themeColor="text1" w:themeTint="A6"/>
                              <w:sz w:val="36"/>
                              <w:szCs w:val="36"/>
                            </w:rPr>
                            <w:t xml:space="preserve">: </w:t>
                          </w:r>
                          <w:r>
                            <w:rPr>
                              <w:rFonts w:cstheme="minorHAnsi"/>
                              <w:b/>
                              <w:bCs/>
                              <w:color w:val="595959" w:themeColor="text1" w:themeTint="A6"/>
                              <w:sz w:val="36"/>
                              <w:szCs w:val="36"/>
                            </w:rPr>
                            <w:t xml:space="preserve">A </w:t>
                          </w:r>
                          <w:r w:rsidR="006230C7">
                            <w:rPr>
                              <w:rFonts w:cstheme="minorHAnsi"/>
                              <w:b/>
                              <w:bCs/>
                              <w:color w:val="595959" w:themeColor="text1" w:themeTint="A6"/>
                              <w:sz w:val="36"/>
                              <w:szCs w:val="36"/>
                            </w:rPr>
                            <w:t>RESISTÊNCIA INDÍGENA</w:t>
                          </w:r>
                          <w:r>
                            <w:rPr>
                              <w:rFonts w:cstheme="minorHAnsi"/>
                              <w:b/>
                              <w:bCs/>
                              <w:color w:val="595959" w:themeColor="text1" w:themeTint="A6"/>
                              <w:sz w:val="36"/>
                              <w:szCs w:val="36"/>
                            </w:rPr>
                            <w:t xml:space="preserve"> (1</w:t>
                          </w:r>
                          <w:r w:rsidR="00774653">
                            <w:rPr>
                              <w:rFonts w:cstheme="minorHAnsi"/>
                              <w:b/>
                              <w:bCs/>
                              <w:color w:val="595959" w:themeColor="text1" w:themeTint="A6"/>
                              <w:sz w:val="36"/>
                              <w:szCs w:val="36"/>
                            </w:rPr>
                            <w:t>7</w:t>
                          </w:r>
                          <w:r>
                            <w:rPr>
                              <w:rFonts w:cstheme="minorHAnsi"/>
                              <w:b/>
                              <w:bCs/>
                              <w:color w:val="595959" w:themeColor="text1" w:themeTint="A6"/>
                              <w:sz w:val="36"/>
                              <w:szCs w:val="36"/>
                            </w:rPr>
                            <w:t>00 A 1800)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8FADF9" id="_x0000_t202" coordsize="21600,21600" o:spt="202" path="m,l,21600r21600,l21600,xe">
              <v:stroke joinstyle="miter"/>
              <v:path gradientshapeok="t" o:connecttype="rect"/>
            </v:shapetype>
            <v:shape id="Caixa de Texto 2" o:spid="_x0000_s1026" type="#_x0000_t202" style="position:absolute;margin-left:-39.4pt;margin-top:-20.45pt;width:515pt;height:35.3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" filled="f" stroked="f">
              <v:textbox>
                <w:txbxContent>
                  <w:p w14:paraId="6CA3D18B" w14:textId="0EF313A7" w:rsidR="0081019A" w:rsidRPr="00887CB7" w:rsidRDefault="00BD3346" w:rsidP="00BB2C10">
                    <w:pPr>
                      <w:jc w:val="center"/>
                      <w:rPr>
                        <w:rFonts w:cstheme="minorHAnsi"/>
                        <w:b/>
                        <w:bCs/>
                        <w:color w:val="595959" w:themeColor="text1" w:themeTint="A6"/>
                        <w:sz w:val="36"/>
                        <w:szCs w:val="36"/>
                      </w:rPr>
                    </w:pPr>
                    <w:r>
                      <w:rPr>
                        <w:rFonts w:cstheme="minorHAnsi"/>
                        <w:b/>
                        <w:bCs/>
                        <w:color w:val="595959" w:themeColor="text1" w:themeTint="A6"/>
                        <w:sz w:val="36"/>
                        <w:szCs w:val="36"/>
                      </w:rPr>
                      <w:t>POVOS INDÍGENAS</w:t>
                    </w:r>
                    <w:r w:rsidR="006230C7">
                      <w:rPr>
                        <w:rFonts w:cstheme="minorHAnsi"/>
                        <w:b/>
                        <w:bCs/>
                        <w:color w:val="595959" w:themeColor="text1" w:themeTint="A6"/>
                        <w:sz w:val="36"/>
                        <w:szCs w:val="36"/>
                      </w:rPr>
                      <w:t xml:space="preserve">: </w:t>
                    </w:r>
                    <w:r>
                      <w:rPr>
                        <w:rFonts w:cstheme="minorHAnsi"/>
                        <w:b/>
                        <w:bCs/>
                        <w:color w:val="595959" w:themeColor="text1" w:themeTint="A6"/>
                        <w:sz w:val="36"/>
                        <w:szCs w:val="36"/>
                      </w:rPr>
                      <w:t xml:space="preserve">A </w:t>
                    </w:r>
                    <w:r w:rsidR="006230C7">
                      <w:rPr>
                        <w:rFonts w:cstheme="minorHAnsi"/>
                        <w:b/>
                        <w:bCs/>
                        <w:color w:val="595959" w:themeColor="text1" w:themeTint="A6"/>
                        <w:sz w:val="36"/>
                        <w:szCs w:val="36"/>
                      </w:rPr>
                      <w:t>RESISTÊNCIA INDÍGENA</w:t>
                    </w:r>
                    <w:r>
                      <w:rPr>
                        <w:rFonts w:cstheme="minorHAnsi"/>
                        <w:b/>
                        <w:bCs/>
                        <w:color w:val="595959" w:themeColor="text1" w:themeTint="A6"/>
                        <w:sz w:val="36"/>
                        <w:szCs w:val="36"/>
                      </w:rPr>
                      <w:t xml:space="preserve"> (1</w:t>
                    </w:r>
                    <w:r w:rsidR="00774653">
                      <w:rPr>
                        <w:rFonts w:cstheme="minorHAnsi"/>
                        <w:b/>
                        <w:bCs/>
                        <w:color w:val="595959" w:themeColor="text1" w:themeTint="A6"/>
                        <w:sz w:val="36"/>
                        <w:szCs w:val="36"/>
                      </w:rPr>
                      <w:t>7</w:t>
                    </w:r>
                    <w:r>
                      <w:rPr>
                        <w:rFonts w:cstheme="minorHAnsi"/>
                        <w:b/>
                        <w:bCs/>
                        <w:color w:val="595959" w:themeColor="text1" w:themeTint="A6"/>
                        <w:sz w:val="36"/>
                        <w:szCs w:val="36"/>
                      </w:rPr>
                      <w:t>00 A 1800)</w:t>
                    </w:r>
                  </w:p>
                </w:txbxContent>
              </v:textbox>
              <w10:wrap type="square" anchorx="margin"/>
            </v:shape>
          </w:pict>
        </mc:Fallback>
      </mc:AlternateContent>
    </w:r>
    <w:r w:rsidR="00190F7B">
      <w:rPr>
        <w:noProof/>
        <w:lang w:eastAsia="pt-BR"/>
      </w:rPr>
      <w:pict w14:anchorId="76D589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635220" o:spid="_x0000_s2069" type="#_x0000_t75" style="position:absolute;margin-left:-71.4pt;margin-top:-70.3pt;width:596.25pt;height:843.85pt;z-index:-251645952;mso-position-horizontal-relative:margin;mso-position-vertical-relative:margin" o:allowincell="f">
          <v:imagedata r:id="rId1" o:title="Timbrado"/>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97085" w14:textId="7DB13F66" w:rsidR="00FE74B7" w:rsidRDefault="00190F7B">
    <w:pPr>
      <w:pStyle w:val="Cabealho"/>
    </w:pPr>
    <w:r>
      <w:rPr>
        <w:noProof/>
      </w:rPr>
      <w:pict w14:anchorId="13DA1D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635218" o:spid="_x0000_s2067" type="#_x0000_t75" style="position:absolute;margin-left:0;margin-top:0;width:596.25pt;height:843.85pt;z-index:-251648000;mso-position-horizontal:center;mso-position-horizontal-relative:margin;mso-position-vertical:center;mso-position-vertical-relative:margin" o:allowincell="f">
          <v:imagedata r:id="rId1" o:title="Timbrado"/>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163B3E"/>
    <w:multiLevelType w:val="hybridMultilevel"/>
    <w:tmpl w:val="E2B289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0146429"/>
    <w:multiLevelType w:val="hybridMultilevel"/>
    <w:tmpl w:val="759A0E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hdrShapeDefaults>
    <o:shapedefaults v:ext="edit" spidmax="207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4B7"/>
    <w:rsid w:val="000347A7"/>
    <w:rsid w:val="00065890"/>
    <w:rsid w:val="00082DF3"/>
    <w:rsid w:val="00085D0D"/>
    <w:rsid w:val="000A49C7"/>
    <w:rsid w:val="000D766E"/>
    <w:rsid w:val="00190F7B"/>
    <w:rsid w:val="001A013D"/>
    <w:rsid w:val="001F4012"/>
    <w:rsid w:val="00202E1C"/>
    <w:rsid w:val="00205554"/>
    <w:rsid w:val="002272B0"/>
    <w:rsid w:val="00240D40"/>
    <w:rsid w:val="002732D3"/>
    <w:rsid w:val="00274EB3"/>
    <w:rsid w:val="002A23A6"/>
    <w:rsid w:val="002D6EA0"/>
    <w:rsid w:val="003128CD"/>
    <w:rsid w:val="00315933"/>
    <w:rsid w:val="00345B28"/>
    <w:rsid w:val="00350350"/>
    <w:rsid w:val="00375F2C"/>
    <w:rsid w:val="00380CD2"/>
    <w:rsid w:val="003915AD"/>
    <w:rsid w:val="003D3DE5"/>
    <w:rsid w:val="004016A8"/>
    <w:rsid w:val="004113A2"/>
    <w:rsid w:val="00414AA9"/>
    <w:rsid w:val="00485E6C"/>
    <w:rsid w:val="00547369"/>
    <w:rsid w:val="0055710E"/>
    <w:rsid w:val="00566EE9"/>
    <w:rsid w:val="0057013D"/>
    <w:rsid w:val="005A2CE2"/>
    <w:rsid w:val="005C5771"/>
    <w:rsid w:val="005E7F31"/>
    <w:rsid w:val="006230C7"/>
    <w:rsid w:val="00640C9B"/>
    <w:rsid w:val="00682670"/>
    <w:rsid w:val="00683AF4"/>
    <w:rsid w:val="006D5433"/>
    <w:rsid w:val="006E2FB5"/>
    <w:rsid w:val="006E6208"/>
    <w:rsid w:val="00727646"/>
    <w:rsid w:val="00755204"/>
    <w:rsid w:val="00762B17"/>
    <w:rsid w:val="00774653"/>
    <w:rsid w:val="007815A9"/>
    <w:rsid w:val="007F07A3"/>
    <w:rsid w:val="0081019A"/>
    <w:rsid w:val="0082381A"/>
    <w:rsid w:val="00887CB7"/>
    <w:rsid w:val="008D51CB"/>
    <w:rsid w:val="00925C6E"/>
    <w:rsid w:val="00953E9C"/>
    <w:rsid w:val="00971212"/>
    <w:rsid w:val="00985000"/>
    <w:rsid w:val="00A03DAD"/>
    <w:rsid w:val="00A37D91"/>
    <w:rsid w:val="00A51993"/>
    <w:rsid w:val="00A8022E"/>
    <w:rsid w:val="00A806B7"/>
    <w:rsid w:val="00AA4EC3"/>
    <w:rsid w:val="00AD32EA"/>
    <w:rsid w:val="00AE01EB"/>
    <w:rsid w:val="00AE2D95"/>
    <w:rsid w:val="00AE405F"/>
    <w:rsid w:val="00B323A8"/>
    <w:rsid w:val="00B871FE"/>
    <w:rsid w:val="00BB2C10"/>
    <w:rsid w:val="00BB4E0B"/>
    <w:rsid w:val="00BB68B8"/>
    <w:rsid w:val="00BC358C"/>
    <w:rsid w:val="00BC6821"/>
    <w:rsid w:val="00BD3346"/>
    <w:rsid w:val="00C23D25"/>
    <w:rsid w:val="00C96420"/>
    <w:rsid w:val="00D07E81"/>
    <w:rsid w:val="00D45A96"/>
    <w:rsid w:val="00DC5510"/>
    <w:rsid w:val="00E07A49"/>
    <w:rsid w:val="00E252CC"/>
    <w:rsid w:val="00E34962"/>
    <w:rsid w:val="00E64749"/>
    <w:rsid w:val="00E669A5"/>
    <w:rsid w:val="00E71654"/>
    <w:rsid w:val="00F309C3"/>
    <w:rsid w:val="00F5214F"/>
    <w:rsid w:val="00F6650D"/>
    <w:rsid w:val="00F73E96"/>
    <w:rsid w:val="00F934C8"/>
    <w:rsid w:val="00FB49A3"/>
    <w:rsid w:val="00FE74B7"/>
    <w:rsid w:val="00FF329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70"/>
    <o:shapelayout v:ext="edit">
      <o:idmap v:ext="edit" data="1"/>
    </o:shapelayout>
  </w:shapeDefaults>
  <w:decimalSymbol w:val=","/>
  <w:listSeparator w:val=";"/>
  <w14:docId w14:val="2576C8D3"/>
  <w15:chartTrackingRefBased/>
  <w15:docId w15:val="{393718DC-8B1F-42E9-8675-6058915AE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74B7"/>
    <w:rPr>
      <w:sz w:val="20"/>
    </w:rPr>
  </w:style>
  <w:style w:type="paragraph" w:styleId="Ttulo1">
    <w:name w:val="heading 1"/>
    <w:aliases w:val="Subtítulo ES"/>
    <w:basedOn w:val="Normal"/>
    <w:next w:val="Normal"/>
    <w:link w:val="Ttulo1Char"/>
    <w:uiPriority w:val="9"/>
    <w:qFormat/>
    <w:rsid w:val="00375F2C"/>
    <w:pPr>
      <w:keepNext/>
      <w:keepLines/>
      <w:spacing w:before="400" w:after="60"/>
      <w:contextualSpacing/>
      <w:outlineLvl w:val="0"/>
    </w:pPr>
    <w:rPr>
      <w:rFonts w:ascii="Calibri" w:eastAsiaTheme="majorEastAsia" w:hAnsi="Calibri" w:cstheme="majorBidi"/>
      <w:b/>
      <w:color w:val="595959" w:themeColor="text1" w:themeTint="A6"/>
      <w:sz w:val="24"/>
      <w:szCs w:val="32"/>
    </w:rPr>
  </w:style>
  <w:style w:type="paragraph" w:styleId="Ttulo2">
    <w:name w:val="heading 2"/>
    <w:aliases w:val="Link"/>
    <w:basedOn w:val="Normal"/>
    <w:next w:val="Normal"/>
    <w:link w:val="Ttulo2Char"/>
    <w:uiPriority w:val="9"/>
    <w:unhideWhenUsed/>
    <w:qFormat/>
    <w:rsid w:val="00D07E81"/>
    <w:pPr>
      <w:keepNext/>
      <w:keepLines/>
      <w:spacing w:before="40" w:after="0"/>
      <w:outlineLvl w:val="1"/>
    </w:pPr>
    <w:rPr>
      <w:rFonts w:asciiTheme="majorHAnsi" w:eastAsiaTheme="majorEastAsia" w:hAnsiTheme="majorHAnsi" w:cstheme="majorBidi"/>
      <w:b/>
      <w:color w:val="4472C4" w:themeColor="accent1"/>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E74B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E74B7"/>
  </w:style>
  <w:style w:type="paragraph" w:styleId="Rodap">
    <w:name w:val="footer"/>
    <w:basedOn w:val="Normal"/>
    <w:link w:val="RodapChar"/>
    <w:uiPriority w:val="99"/>
    <w:unhideWhenUsed/>
    <w:rsid w:val="00FE74B7"/>
    <w:pPr>
      <w:tabs>
        <w:tab w:val="center" w:pos="4252"/>
        <w:tab w:val="right" w:pos="8504"/>
      </w:tabs>
      <w:spacing w:after="0" w:line="240" w:lineRule="auto"/>
    </w:pPr>
  </w:style>
  <w:style w:type="character" w:customStyle="1" w:styleId="RodapChar">
    <w:name w:val="Rodapé Char"/>
    <w:basedOn w:val="Fontepargpadro"/>
    <w:link w:val="Rodap"/>
    <w:uiPriority w:val="99"/>
    <w:rsid w:val="00FE74B7"/>
  </w:style>
  <w:style w:type="paragraph" w:styleId="NormalWeb">
    <w:name w:val="Normal (Web)"/>
    <w:basedOn w:val="Normal"/>
    <w:uiPriority w:val="99"/>
    <w:semiHidden/>
    <w:unhideWhenUsed/>
    <w:rsid w:val="00FE74B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1Char">
    <w:name w:val="Título 1 Char"/>
    <w:aliases w:val="Subtítulo ES Char"/>
    <w:basedOn w:val="Fontepargpadro"/>
    <w:link w:val="Ttulo1"/>
    <w:uiPriority w:val="9"/>
    <w:rsid w:val="00375F2C"/>
    <w:rPr>
      <w:rFonts w:ascii="Calibri" w:eastAsiaTheme="majorEastAsia" w:hAnsi="Calibri" w:cstheme="majorBidi"/>
      <w:b/>
      <w:color w:val="595959" w:themeColor="text1" w:themeTint="A6"/>
      <w:sz w:val="24"/>
      <w:szCs w:val="32"/>
    </w:rPr>
  </w:style>
  <w:style w:type="character" w:styleId="Hyperlink">
    <w:name w:val="Hyperlink"/>
    <w:basedOn w:val="Fontepargpadro"/>
    <w:uiPriority w:val="99"/>
    <w:unhideWhenUsed/>
    <w:rsid w:val="00A37D91"/>
    <w:rPr>
      <w:color w:val="0000FF"/>
      <w:u w:val="single"/>
    </w:rPr>
  </w:style>
  <w:style w:type="paragraph" w:styleId="Ttulo">
    <w:name w:val="Title"/>
    <w:aliases w:val="Título ES"/>
    <w:basedOn w:val="Normal"/>
    <w:next w:val="Normal"/>
    <w:link w:val="TtuloChar"/>
    <w:uiPriority w:val="10"/>
    <w:qFormat/>
    <w:rsid w:val="00887CB7"/>
    <w:pPr>
      <w:pBdr>
        <w:bottom w:val="thinThickLargeGap" w:sz="4" w:space="1" w:color="767171" w:themeColor="background2" w:themeShade="80"/>
      </w:pBdr>
      <w:spacing w:before="240" w:after="120" w:line="240" w:lineRule="auto"/>
      <w:contextualSpacing/>
    </w:pPr>
    <w:rPr>
      <w:rFonts w:asciiTheme="majorHAnsi" w:eastAsiaTheme="majorEastAsia" w:hAnsiTheme="majorHAnsi" w:cstheme="majorBidi"/>
      <w:b/>
      <w:color w:val="595959" w:themeColor="text1" w:themeTint="A6"/>
      <w:spacing w:val="-10"/>
      <w:kern w:val="28"/>
      <w:sz w:val="30"/>
      <w:szCs w:val="56"/>
    </w:rPr>
  </w:style>
  <w:style w:type="character" w:customStyle="1" w:styleId="TtuloChar">
    <w:name w:val="Título Char"/>
    <w:aliases w:val="Título ES Char"/>
    <w:basedOn w:val="Fontepargpadro"/>
    <w:link w:val="Ttulo"/>
    <w:uiPriority w:val="10"/>
    <w:rsid w:val="00887CB7"/>
    <w:rPr>
      <w:rFonts w:asciiTheme="majorHAnsi" w:eastAsiaTheme="majorEastAsia" w:hAnsiTheme="majorHAnsi" w:cstheme="majorBidi"/>
      <w:b/>
      <w:color w:val="595959" w:themeColor="text1" w:themeTint="A6"/>
      <w:spacing w:val="-10"/>
      <w:kern w:val="28"/>
      <w:sz w:val="30"/>
      <w:szCs w:val="56"/>
    </w:rPr>
  </w:style>
  <w:style w:type="paragraph" w:styleId="SemEspaamento">
    <w:name w:val="No Spacing"/>
    <w:uiPriority w:val="1"/>
    <w:rsid w:val="00971212"/>
    <w:pPr>
      <w:spacing w:after="0" w:line="240" w:lineRule="auto"/>
    </w:pPr>
    <w:rPr>
      <w:sz w:val="20"/>
    </w:rPr>
  </w:style>
  <w:style w:type="character" w:customStyle="1" w:styleId="MenoPendente1">
    <w:name w:val="Menção Pendente1"/>
    <w:basedOn w:val="Fontepargpadro"/>
    <w:uiPriority w:val="99"/>
    <w:semiHidden/>
    <w:unhideWhenUsed/>
    <w:rsid w:val="00971212"/>
    <w:rPr>
      <w:color w:val="605E5C"/>
      <w:shd w:val="clear" w:color="auto" w:fill="E1DFDD"/>
    </w:rPr>
  </w:style>
  <w:style w:type="paragraph" w:styleId="PargrafodaLista">
    <w:name w:val="List Paragraph"/>
    <w:basedOn w:val="Normal"/>
    <w:uiPriority w:val="34"/>
    <w:qFormat/>
    <w:rsid w:val="00485E6C"/>
    <w:pPr>
      <w:ind w:left="720"/>
      <w:contextualSpacing/>
    </w:pPr>
  </w:style>
  <w:style w:type="character" w:styleId="nfaseIntensa">
    <w:name w:val="Intense Emphasis"/>
    <w:basedOn w:val="Fontepargpadro"/>
    <w:uiPriority w:val="21"/>
    <w:qFormat/>
    <w:rsid w:val="004016A8"/>
    <w:rPr>
      <w:i/>
      <w:iCs/>
      <w:color w:val="4472C4" w:themeColor="accent1"/>
    </w:rPr>
  </w:style>
  <w:style w:type="character" w:customStyle="1" w:styleId="Ttulo2Char">
    <w:name w:val="Título 2 Char"/>
    <w:aliases w:val="Link Char"/>
    <w:basedOn w:val="Fontepargpadro"/>
    <w:link w:val="Ttulo2"/>
    <w:uiPriority w:val="9"/>
    <w:rsid w:val="00D07E81"/>
    <w:rPr>
      <w:rFonts w:asciiTheme="majorHAnsi" w:eastAsiaTheme="majorEastAsia" w:hAnsiTheme="majorHAnsi" w:cstheme="majorBidi"/>
      <w:b/>
      <w:color w:val="4472C4" w:themeColor="accent1"/>
      <w:sz w:val="20"/>
      <w:szCs w:val="26"/>
    </w:rPr>
  </w:style>
  <w:style w:type="paragraph" w:styleId="Subttulo">
    <w:name w:val="Subtitle"/>
    <w:basedOn w:val="Normal"/>
    <w:next w:val="Normal"/>
    <w:link w:val="SubttuloChar"/>
    <w:uiPriority w:val="11"/>
    <w:qFormat/>
    <w:rsid w:val="00AE01EB"/>
    <w:pPr>
      <w:numPr>
        <w:ilvl w:val="1"/>
      </w:numPr>
    </w:pPr>
    <w:rPr>
      <w:rFonts w:eastAsiaTheme="minorEastAsia"/>
      <w:color w:val="5A5A5A" w:themeColor="text1" w:themeTint="A5"/>
      <w:spacing w:val="15"/>
      <w:sz w:val="22"/>
    </w:rPr>
  </w:style>
  <w:style w:type="character" w:customStyle="1" w:styleId="SubttuloChar">
    <w:name w:val="Subtítulo Char"/>
    <w:basedOn w:val="Fontepargpadro"/>
    <w:link w:val="Subttulo"/>
    <w:uiPriority w:val="11"/>
    <w:rsid w:val="00AE01EB"/>
    <w:rPr>
      <w:rFonts w:eastAsiaTheme="minorEastAsia"/>
      <w:color w:val="5A5A5A" w:themeColor="text1" w:themeTint="A5"/>
      <w:spacing w:val="15"/>
    </w:rPr>
  </w:style>
  <w:style w:type="table" w:styleId="Tabelacomgrade">
    <w:name w:val="Table Grid"/>
    <w:basedOn w:val="Tabelanormal"/>
    <w:uiPriority w:val="39"/>
    <w:rsid w:val="00AE01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BD334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D33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993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sinarhistoriajoelza.com.br/periodo-historico/" TargetMode="External"/><Relationship Id="rId13" Type="http://schemas.openxmlformats.org/officeDocument/2006/relationships/hyperlink" Target="https://ensinarhistoriajoelza.com.br/periodo-historico/" TargetMode="External"/><Relationship Id="rId18" Type="http://schemas.openxmlformats.org/officeDocument/2006/relationships/hyperlink" Target="https://ensinarhistoriajoelza.com.br/definicao-das-fronteiras-sulistas-e-o-massacre-dos-guaranis/" TargetMode="External"/><Relationship Id="rId26" Type="http://schemas.openxmlformats.org/officeDocument/2006/relationships/hyperlink" Target="http://www.dominiopublico.gov.br/download/texto/me004372.pdf" TargetMode="External"/><Relationship Id="rId3" Type="http://schemas.openxmlformats.org/officeDocument/2006/relationships/styles" Target="styles.xml"/><Relationship Id="rId21" Type="http://schemas.openxmlformats.org/officeDocument/2006/relationships/hyperlink" Target="https://ensinarhistoriajoelza.com.br/linha-do-tempo/assassinado-sepe-tiaraju-lider-guarani/"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historia.uff.br/impressoesrebeldes/?revoltas_categoria=1722" TargetMode="External"/><Relationship Id="rId17" Type="http://schemas.openxmlformats.org/officeDocument/2006/relationships/hyperlink" Target="https://social.stoa.usp.br/articles/0015/6395/05_Tratado_de_Madrid_1750.pdf" TargetMode="External"/><Relationship Id="rId25" Type="http://schemas.openxmlformats.org/officeDocument/2006/relationships/hyperlink" Target="https://ensinarhistoriajoelza.com.br/linha-do-tempo/conjuracao-dos-alfaiates-bahia/"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funai.gov.br/arquivos/conteudo/cogedi/pdf/Revista-Estudos-e-Pesquisas/revista_estudos_pesquisas_v3_n1_2/05_Mura_guardiaes_do_caminho_fluvial_Eliane%20Pequeno.pdf" TargetMode="External"/><Relationship Id="rId20" Type="http://schemas.openxmlformats.org/officeDocument/2006/relationships/hyperlink" Target="http://www.histedbr.fe.unicamp.br/navegando/artigos_frames/artigo_073.html"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sinarhistoriajoelza.com.br/periodo-historico/" TargetMode="External"/><Relationship Id="rId24" Type="http://schemas.openxmlformats.org/officeDocument/2006/relationships/hyperlink" Target="https://ensinarhistoriajoelza.com.br/linha-do-tempo/execucao-de-tiradentes-na-forca-rio-de-janeiro/" TargetMode="External"/><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file:///C:/Users/clebe/AppData/Local/Temp/111630-Texto%20do%20artigo-201452-1-10-20160301.pdf" TargetMode="External"/><Relationship Id="rId23" Type="http://schemas.openxmlformats.org/officeDocument/2006/relationships/hyperlink" Target="file:///C:/Users/clebe/AppData/Local/Temp/2436-Texto%20do%20artigo-3856-1-10-20120307.pdf" TargetMode="External"/><Relationship Id="rId28" Type="http://schemas.openxmlformats.org/officeDocument/2006/relationships/header" Target="header2.xml"/><Relationship Id="rId10" Type="http://schemas.openxmlformats.org/officeDocument/2006/relationships/hyperlink" Target="https://ensinarhistoriajoelza.com.br/periodo-historico/" TargetMode="External"/><Relationship Id="rId19" Type="http://schemas.openxmlformats.org/officeDocument/2006/relationships/hyperlink" Target="https://www.nacaomestica.org/diretorio_dos_indios.htm"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ensinarhistoriajoelza.com.br/periodo-historico/" TargetMode="External"/><Relationship Id="rId14" Type="http://schemas.openxmlformats.org/officeDocument/2006/relationships/hyperlink" Target="http://files.ufgd.edu.br/arquivos/arquivos/78/EDITORA/catalogo/a-reserva-indigena-kadiweu-1899-1984-memoria-identidade-e-historia-giovani-jose-da-silva.pdf" TargetMode="External"/><Relationship Id="rId22" Type="http://schemas.openxmlformats.org/officeDocument/2006/relationships/hyperlink" Target="https://ensinarhistoriajoelza.com.br/linha-do-tempo/rio-de-janeiro-capital-do-vice-reino-do-brasil/" TargetMode="External"/><Relationship Id="rId27" Type="http://schemas.openxmlformats.org/officeDocument/2006/relationships/header" Target="header1.xml"/><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89DB6-40EA-417F-ACFB-F8BC08B63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9</Pages>
  <Words>5423</Words>
  <Characters>29287</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geralrivia10@gmail.com</dc:creator>
  <cp:keywords/>
  <dc:description/>
  <cp:lastModifiedBy>Joelza Ester Domingues</cp:lastModifiedBy>
  <cp:revision>13</cp:revision>
  <cp:lastPrinted>2020-06-16T15:46:00Z</cp:lastPrinted>
  <dcterms:created xsi:type="dcterms:W3CDTF">2020-08-25T18:29:00Z</dcterms:created>
  <dcterms:modified xsi:type="dcterms:W3CDTF">2020-10-07T19:55:00Z</dcterms:modified>
</cp:coreProperties>
</file>